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2B880DE7" w:rsidR="0043416D" w:rsidRPr="00EC5112" w:rsidRDefault="00C23F05"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March</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44937626"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C23F05">
                              <w:rPr>
                                <w:rFonts w:ascii="Times New Roman" w:eastAsia="Calibri" w:hAnsi="Times New Roman" w:cs="Times New Roman"/>
                                <w:b/>
                                <w:iCs/>
                                <w:sz w:val="18"/>
                                <w:szCs w:val="18"/>
                              </w:rPr>
                              <w:t>2</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sidRPr="009903C1">
                        <w:rPr>
                          <w:rFonts w:ascii="Times New Roman" w:eastAsia="Calibri" w:hAnsi="Times New Roman" w:cs="Times New Roman"/>
                          <w:b/>
                          <w:iCs/>
                          <w:sz w:val="36"/>
                          <w:szCs w:val="36"/>
                        </w:rPr>
                        <w:t xml:space="preserve">Professionalization of Exercise </w:t>
                      </w:r>
                      <w:proofErr w:type="spellStart"/>
                      <w:r w:rsidRPr="009903C1">
                        <w:rPr>
                          <w:rFonts w:ascii="Times New Roman" w:eastAsia="Calibri" w:hAnsi="Times New Roman" w:cs="Times New Roman"/>
                          <w:b/>
                          <w:iCs/>
                          <w:sz w:val="36"/>
                          <w:szCs w:val="36"/>
                        </w:rPr>
                        <w:t>Physiology</w:t>
                      </w:r>
                      <w:r w:rsidRPr="009903C1">
                        <w:rPr>
                          <w:rFonts w:ascii="Times New Roman" w:eastAsia="Calibri" w:hAnsi="Times New Roman" w:cs="Times New Roman"/>
                          <w:b/>
                          <w:iCs/>
                          <w:color w:val="FF0000"/>
                          <w:sz w:val="28"/>
                          <w:szCs w:val="28"/>
                        </w:rPr>
                        <w:t>online</w:t>
                      </w:r>
                      <w:proofErr w:type="spellEnd"/>
                    </w:p>
                    <w:p w14:paraId="0C51B831"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bCs/>
                        </w:rPr>
                      </w:pPr>
                    </w:p>
                    <w:p w14:paraId="3613E4B3"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sidRPr="009903C1">
                        <w:rPr>
                          <w:rFonts w:ascii="Times New Roman" w:hAnsi="Times New Roman" w:cs="Times New Roman"/>
                          <w:bCs/>
                          <w:sz w:val="20"/>
                          <w:szCs w:val="20"/>
                        </w:rPr>
                        <w:t>ISSN 1099-5862</w:t>
                      </w:r>
                    </w:p>
                    <w:p w14:paraId="34398A02"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iCs/>
                        </w:rPr>
                      </w:pPr>
                    </w:p>
                    <w:p w14:paraId="1E70468B" w14:textId="2B880DE7" w:rsidR="0043416D" w:rsidRPr="00EC5112" w:rsidRDefault="00C23F05" w:rsidP="006263FF">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March</w:t>
                      </w:r>
                      <w:r w:rsidR="000E77C9">
                        <w:rPr>
                          <w:rFonts w:ascii="Times New Roman" w:hAnsi="Times New Roman" w:cs="Times New Roman"/>
                          <w:b/>
                          <w:iCs/>
                          <w:sz w:val="28"/>
                          <w:szCs w:val="28"/>
                        </w:rPr>
                        <w:t xml:space="preserve"> </w:t>
                      </w:r>
                      <w:r w:rsidR="0043416D">
                        <w:rPr>
                          <w:rFonts w:ascii="Times New Roman" w:eastAsia="Calibri" w:hAnsi="Times New Roman" w:cs="Times New Roman"/>
                          <w:b/>
                          <w:iCs/>
                          <w:sz w:val="28"/>
                          <w:szCs w:val="28"/>
                        </w:rPr>
                        <w:t>202</w:t>
                      </w:r>
                      <w:r w:rsidR="00BB35C4">
                        <w:rPr>
                          <w:rFonts w:ascii="Times New Roman" w:eastAsia="Calibri" w:hAnsi="Times New Roman" w:cs="Times New Roman"/>
                          <w:b/>
                          <w:iCs/>
                          <w:sz w:val="28"/>
                          <w:szCs w:val="28"/>
                        </w:rPr>
                        <w:t>1</w:t>
                      </w:r>
                    </w:p>
                    <w:p w14:paraId="544F17D7" w14:textId="44937626" w:rsidR="0043416D" w:rsidRPr="009903C1" w:rsidRDefault="0043416D" w:rsidP="006263FF">
                      <w:pPr>
                        <w:pBdr>
                          <w:top w:val="single" w:sz="18" w:space="5" w:color="FFFFFF"/>
                          <w:left w:val="single" w:sz="18" w:space="28" w:color="FFFFFF"/>
                          <w:right w:val="single" w:sz="48" w:space="30" w:color="9BBB59"/>
                        </w:pBdr>
                        <w:jc w:val="center"/>
                        <w:rPr>
                          <w:rFonts w:ascii="Times New Roman" w:hAnsi="Times New Roman" w:cs="Times New Roman"/>
                          <w:b/>
                          <w:iCs/>
                        </w:rPr>
                      </w:pPr>
                      <w:r>
                        <w:rPr>
                          <w:rFonts w:ascii="Times New Roman" w:eastAsia="Calibri" w:hAnsi="Times New Roman" w:cs="Times New Roman"/>
                          <w:b/>
                          <w:iCs/>
                          <w:sz w:val="18"/>
                          <w:szCs w:val="18"/>
                        </w:rPr>
                        <w:t>Vol 2</w:t>
                      </w:r>
                      <w:r w:rsidR="00BB35C4">
                        <w:rPr>
                          <w:rFonts w:ascii="Times New Roman" w:eastAsia="Calibri" w:hAnsi="Times New Roman" w:cs="Times New Roman"/>
                          <w:b/>
                          <w:iCs/>
                          <w:sz w:val="18"/>
                          <w:szCs w:val="18"/>
                        </w:rPr>
                        <w:t>4</w:t>
                      </w:r>
                      <w:r>
                        <w:rPr>
                          <w:rFonts w:ascii="Times New Roman" w:eastAsia="Calibri" w:hAnsi="Times New Roman" w:cs="Times New Roman"/>
                          <w:b/>
                          <w:iCs/>
                          <w:sz w:val="18"/>
                          <w:szCs w:val="18"/>
                        </w:rPr>
                        <w:t xml:space="preserve"> No </w:t>
                      </w:r>
                      <w:r w:rsidR="00C23F05">
                        <w:rPr>
                          <w:rFonts w:ascii="Times New Roman" w:eastAsia="Calibri" w:hAnsi="Times New Roman" w:cs="Times New Roman"/>
                          <w:b/>
                          <w:iCs/>
                          <w:sz w:val="18"/>
                          <w:szCs w:val="18"/>
                        </w:rPr>
                        <w:t>2</w:t>
                      </w:r>
                    </w:p>
                    <w:p w14:paraId="795268AC" w14:textId="77777777" w:rsidR="0043416D" w:rsidRPr="009903C1" w:rsidRDefault="0043416D" w:rsidP="006263FF">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14:paraId="698678F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C00000"/>
                        </w:rPr>
                      </w:pPr>
                      <w:r w:rsidRPr="009903C1">
                        <w:rPr>
                          <w:rFonts w:ascii="Times New Roman" w:eastAsiaTheme="majorEastAsia" w:hAnsi="Times New Roman" w:cs="Times New Roman"/>
                          <w:b/>
                          <w:iCs/>
                          <w:color w:val="C00000"/>
                        </w:rPr>
                        <w:t>American Society of Exercise Physiologists</w:t>
                      </w:r>
                    </w:p>
                    <w:p w14:paraId="66DB2D3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r w:rsidRPr="009903C1">
                        <w:rPr>
                          <w:rFonts w:ascii="Times New Roman" w:eastAsiaTheme="majorEastAsia" w:hAnsi="Times New Roman" w:cs="Times New Roman"/>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5E9FEB10" w14:textId="77777777" w:rsidR="00C23F05" w:rsidRPr="00C81F71" w:rsidRDefault="00C23F05" w:rsidP="00C23F05">
      <w:pPr>
        <w:pStyle w:val="NormalWeb"/>
        <w:shd w:val="clear" w:color="auto" w:fill="FFFFFF"/>
        <w:rPr>
          <w:rFonts w:ascii="Arial" w:hAnsi="Arial" w:cs="Arial"/>
          <w:b/>
          <w:bCs/>
          <w:sz w:val="28"/>
          <w:szCs w:val="28"/>
        </w:rPr>
      </w:pPr>
      <w:r w:rsidRPr="00C81F71">
        <w:rPr>
          <w:rFonts w:ascii="Arial" w:hAnsi="Arial" w:cs="Arial"/>
          <w:b/>
          <w:bCs/>
          <w:sz w:val="28"/>
          <w:szCs w:val="28"/>
        </w:rPr>
        <w:t>Transgender Student-Athlete Rights</w:t>
      </w:r>
    </w:p>
    <w:p w14:paraId="681D500A" w14:textId="7A80B734" w:rsidR="00C23F05" w:rsidRPr="00C23F05" w:rsidRDefault="00C23F05" w:rsidP="00C23F05">
      <w:pPr>
        <w:ind w:left="0" w:right="90" w:firstLine="0"/>
        <w:rPr>
          <w:rFonts w:ascii="Arial" w:hAnsi="Arial" w:cs="Arial"/>
          <w:sz w:val="24"/>
          <w:szCs w:val="24"/>
        </w:rPr>
      </w:pPr>
      <w:r w:rsidRPr="00C23F05">
        <w:rPr>
          <w:rFonts w:ascii="Arial" w:hAnsi="Arial" w:cs="Arial"/>
          <w:sz w:val="24"/>
          <w:szCs w:val="24"/>
        </w:rPr>
        <w:t xml:space="preserve">Margaret E. </w:t>
      </w:r>
      <w:proofErr w:type="spellStart"/>
      <w:r w:rsidRPr="00C23F05">
        <w:rPr>
          <w:rFonts w:ascii="Arial" w:hAnsi="Arial" w:cs="Arial"/>
          <w:sz w:val="24"/>
          <w:szCs w:val="24"/>
        </w:rPr>
        <w:t>Ciccolella</w:t>
      </w:r>
      <w:proofErr w:type="spellEnd"/>
      <w:r w:rsidRPr="00C23F05">
        <w:rPr>
          <w:rFonts w:ascii="Arial" w:hAnsi="Arial" w:cs="Arial"/>
          <w:sz w:val="24"/>
          <w:szCs w:val="24"/>
        </w:rPr>
        <w:t>, EdD, JD, Sharon A. West-Sell, PhD, ATC, John Mark Van Ness, PhD</w:t>
      </w:r>
      <w:r>
        <w:rPr>
          <w:rFonts w:ascii="Arial" w:hAnsi="Arial" w:cs="Arial"/>
          <w:sz w:val="24"/>
          <w:szCs w:val="24"/>
        </w:rPr>
        <w:t>,</w:t>
      </w:r>
      <w:r w:rsidRPr="00C23F05">
        <w:rPr>
          <w:rFonts w:ascii="Arial" w:hAnsi="Arial" w:cs="Arial"/>
          <w:sz w:val="24"/>
          <w:szCs w:val="24"/>
        </w:rPr>
        <w:t xml:space="preserve"> Department of Health and Exercise Science, University of the Pacific, Stockton,</w:t>
      </w:r>
      <w:r>
        <w:rPr>
          <w:rFonts w:ascii="Arial" w:hAnsi="Arial" w:cs="Arial"/>
          <w:sz w:val="24"/>
          <w:szCs w:val="24"/>
        </w:rPr>
        <w:t xml:space="preserve"> </w:t>
      </w:r>
      <w:r w:rsidRPr="00C23F05">
        <w:rPr>
          <w:rFonts w:ascii="Arial" w:hAnsi="Arial" w:cs="Arial"/>
          <w:sz w:val="24"/>
          <w:szCs w:val="24"/>
        </w:rPr>
        <w:t>CA</w:t>
      </w:r>
    </w:p>
    <w:p w14:paraId="2DFEC8A0" w14:textId="77777777" w:rsidR="00D818ED" w:rsidRDefault="00D818ED" w:rsidP="00D818ED">
      <w:pPr>
        <w:pStyle w:val="NormalWeb"/>
        <w:shd w:val="clear" w:color="auto" w:fill="FFFFFF"/>
        <w:spacing w:before="0" w:beforeAutospacing="0" w:after="0" w:afterAutospacing="0"/>
        <w:jc w:val="center"/>
        <w:rPr>
          <w:rFonts w:ascii="Arial" w:hAnsi="Arial" w:cs="Arial"/>
          <w:b/>
          <w:bCs/>
        </w:rPr>
      </w:pPr>
    </w:p>
    <w:p w14:paraId="47947DDA" w14:textId="0359FAFF" w:rsidR="00C23F05" w:rsidRPr="00E64AD7" w:rsidRDefault="00C23F05" w:rsidP="00C81F71">
      <w:pPr>
        <w:pStyle w:val="NormalWeb"/>
        <w:shd w:val="clear" w:color="auto" w:fill="FFFFFF"/>
        <w:jc w:val="center"/>
        <w:rPr>
          <w:rFonts w:ascii="Arial" w:hAnsi="Arial" w:cs="Arial"/>
          <w:b/>
          <w:bCs/>
        </w:rPr>
      </w:pPr>
      <w:r w:rsidRPr="00E64AD7">
        <w:rPr>
          <w:rFonts w:ascii="Arial" w:hAnsi="Arial" w:cs="Arial"/>
          <w:b/>
          <w:bCs/>
        </w:rPr>
        <w:t>Abstract</w:t>
      </w:r>
    </w:p>
    <w:p w14:paraId="26ACF574" w14:textId="12323183" w:rsidR="00C23F05" w:rsidRPr="009F7AE7" w:rsidRDefault="00C23F05" w:rsidP="00C23F05">
      <w:pPr>
        <w:ind w:left="0" w:firstLine="0"/>
        <w:jc w:val="both"/>
        <w:rPr>
          <w:rFonts w:ascii="Arial" w:hAnsi="Arial" w:cs="Arial"/>
          <w:sz w:val="24"/>
          <w:szCs w:val="24"/>
        </w:rPr>
      </w:pPr>
      <w:r w:rsidRPr="00C23F05">
        <w:rPr>
          <w:rFonts w:ascii="Arial" w:hAnsi="Arial" w:cs="Arial"/>
          <w:sz w:val="24"/>
          <w:szCs w:val="24"/>
        </w:rPr>
        <w:t xml:space="preserve">Debate on sport participation based on sex hinges on how the designation of “sex” is made. Categorization that allows self-identification of sex versus biological identification of sex faces legal, ethical, and moral challenges. Sexual determination can be ambiguous, cumbersome, and difficult for transgender athletes. Because of this, hormone levels have been identified as possible discriminating variables. But more attention needs to be paid to the duration of athlete development with elevated levels of testosterone. These issues identify problems with fairness to cis females </w:t>
      </w:r>
      <w:r w:rsidRPr="009F7AE7">
        <w:rPr>
          <w:rFonts w:ascii="Arial" w:hAnsi="Arial" w:cs="Arial"/>
          <w:sz w:val="24"/>
          <w:szCs w:val="24"/>
        </w:rPr>
        <w:t xml:space="preserve">competing against </w:t>
      </w:r>
      <w:proofErr w:type="spellStart"/>
      <w:r w:rsidRPr="009F7AE7">
        <w:rPr>
          <w:rFonts w:ascii="Arial" w:hAnsi="Arial" w:cs="Arial"/>
          <w:sz w:val="24"/>
          <w:szCs w:val="24"/>
        </w:rPr>
        <w:t>transfemales</w:t>
      </w:r>
      <w:proofErr w:type="spellEnd"/>
      <w:r w:rsidRPr="009F7AE7">
        <w:rPr>
          <w:rFonts w:ascii="Arial" w:hAnsi="Arial" w:cs="Arial"/>
          <w:sz w:val="24"/>
          <w:szCs w:val="24"/>
        </w:rPr>
        <w:t xml:space="preserve">, even serious dangers within contact sports. Legal resolutions using a biological definition of sex are not without challenge as it leaves the rights for competition uncertain for transgender athletes.  </w:t>
      </w:r>
    </w:p>
    <w:p w14:paraId="4F978C6E" w14:textId="77777777" w:rsidR="00C23F05" w:rsidRPr="009F7AE7" w:rsidRDefault="00C23F05" w:rsidP="00837CCA">
      <w:pPr>
        <w:pStyle w:val="NormalWeb"/>
        <w:shd w:val="clear" w:color="auto" w:fill="FFFFFF"/>
        <w:spacing w:before="0" w:beforeAutospacing="0" w:after="0" w:afterAutospacing="0"/>
        <w:rPr>
          <w:rFonts w:ascii="Arial" w:hAnsi="Arial" w:cs="Arial"/>
          <w:b/>
          <w:bCs/>
        </w:rPr>
      </w:pPr>
    </w:p>
    <w:p w14:paraId="54513423" w14:textId="0AED6064" w:rsidR="00C23F05" w:rsidRPr="009F7AE7" w:rsidRDefault="00C23F05" w:rsidP="00C23F05">
      <w:pPr>
        <w:pStyle w:val="NormalWeb"/>
        <w:shd w:val="clear" w:color="auto" w:fill="FFFFFF"/>
        <w:rPr>
          <w:rFonts w:ascii="Arial" w:hAnsi="Arial" w:cs="Arial"/>
          <w:b/>
          <w:bCs/>
        </w:rPr>
      </w:pPr>
      <w:r w:rsidRPr="009F7AE7">
        <w:rPr>
          <w:rFonts w:ascii="Arial" w:hAnsi="Arial" w:cs="Arial"/>
          <w:b/>
          <w:bCs/>
        </w:rPr>
        <w:t>INTRODUCTION</w:t>
      </w:r>
    </w:p>
    <w:p w14:paraId="4A4A0A1E" w14:textId="77777777"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Resolution in the debate over the meaning of sex is central to the emerging rights of transgender student-athletes. The issue of whether sex is biological or sociological profoundly impacts the interpretation of laws that prohibit sex discrimination. Sport and employment cases dominate transgender court cases. These differing contexts may be the reason why there is a failure to reach consensus on a single definition of sex. Physiology may be more relevant to sport where phenotypic differences can determine outcome while sociological findings </w:t>
      </w:r>
      <w:r w:rsidRPr="009F7AE7">
        <w:rPr>
          <w:rFonts w:ascii="Arial" w:hAnsi="Arial" w:cs="Arial"/>
        </w:rPr>
        <w:lastRenderedPageBreak/>
        <w:t xml:space="preserve">may be more relevant to employment where violation of societal sex-based expectations seem impermissible. </w:t>
      </w:r>
    </w:p>
    <w:p w14:paraId="1572EDDA" w14:textId="77777777"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We are obligated legally and morally not to unfairly discriminate based upon sex. However, conflicting definitions of sex pit fluid concepts of gender and self-identification against less fluid biological constructs that rely primarily on anatomy and genetics. The failure to reach consensus on the meaning of sex has resulted in differing court decisions and professional conflicts among colleagues. Science and sociology are at odds over regulations concerning sex-based rights. Transgender rights are inextricably linked to this debate. </w:t>
      </w:r>
    </w:p>
    <w:p w14:paraId="751B8C93" w14:textId="28C1095A"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Courts have been split on a definition of sex. However, in both a 2020 Supreme Court Title VII employment case and in legislation of a sport-related case in the House of Representatives, both explicitly define sex as a biological construct </w:t>
      </w:r>
      <w:r w:rsidR="001A44F3" w:rsidRPr="009F7AE7">
        <w:rPr>
          <w:rFonts w:ascii="Arial" w:hAnsi="Arial" w:cs="Arial"/>
        </w:rPr>
        <w:t>(1,2)</w:t>
      </w:r>
      <w:r w:rsidRPr="009F7AE7">
        <w:rPr>
          <w:rFonts w:ascii="Arial" w:hAnsi="Arial" w:cs="Arial"/>
        </w:rPr>
        <w:t xml:space="preserve">. The convergence of definition in both sport and employment may serve to end the debate. Whether this resolves the debate remains unclear. </w:t>
      </w:r>
    </w:p>
    <w:p w14:paraId="3CECCF13" w14:textId="2849EA7A"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This article will briefly review federal law that prohibits sex-based discrimination and has been used to determine the rights of transgender athletes. It will also review </w:t>
      </w:r>
      <w:r w:rsidR="001A44F3" w:rsidRPr="009F7AE7">
        <w:rPr>
          <w:rFonts w:ascii="Arial" w:hAnsi="Arial" w:cs="Arial"/>
        </w:rPr>
        <w:t>primarily the</w:t>
      </w:r>
      <w:r w:rsidRPr="009F7AE7">
        <w:rPr>
          <w:rFonts w:ascii="Arial" w:hAnsi="Arial" w:cs="Arial"/>
        </w:rPr>
        <w:t xml:space="preserve"> National Collegiate Athletic Association (NCAA) policies regulating transgendered person’s participation in educational sport.</w:t>
      </w:r>
    </w:p>
    <w:p w14:paraId="63D0E67D" w14:textId="4F61B351"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At the heart of this article is the argument that an explicitly biological definition of sex is central to fairness in sport, but this same description may not necessarily be appropriate for employment. It is the position of this article that the rights of cisgender females to participate in sport, founded under Title IX, </w:t>
      </w:r>
      <w:r w:rsidR="001A44F3" w:rsidRPr="009F7AE7">
        <w:rPr>
          <w:rFonts w:ascii="Arial" w:hAnsi="Arial" w:cs="Arial"/>
        </w:rPr>
        <w:t>are</w:t>
      </w:r>
      <w:r w:rsidRPr="009F7AE7">
        <w:rPr>
          <w:rFonts w:ascii="Arial" w:hAnsi="Arial" w:cs="Arial"/>
        </w:rPr>
        <w:t xml:space="preserve"> completely ignored when sociological constructs such as self-identification trump consideration of the physical differences between biological males and females. </w:t>
      </w:r>
    </w:p>
    <w:p w14:paraId="60273A66" w14:textId="77777777" w:rsidR="00C23F05" w:rsidRPr="009F7AE7" w:rsidRDefault="00C23F05" w:rsidP="00C23F05">
      <w:pPr>
        <w:pStyle w:val="NormalWeb"/>
        <w:shd w:val="clear" w:color="auto" w:fill="FFFFFF"/>
        <w:rPr>
          <w:rFonts w:ascii="Arial" w:hAnsi="Arial" w:cs="Arial"/>
          <w:b/>
          <w:bCs/>
        </w:rPr>
      </w:pPr>
      <w:r w:rsidRPr="009F7AE7">
        <w:rPr>
          <w:rFonts w:ascii="Arial" w:hAnsi="Arial" w:cs="Arial"/>
          <w:b/>
          <w:bCs/>
        </w:rPr>
        <w:t>LAW</w:t>
      </w:r>
    </w:p>
    <w:p w14:paraId="5BF857F5" w14:textId="29D49C4A"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From a legal perspective, federal law has prohibited sex-based discrimination in education and employment for decades. Three laws relevant to transgender rights are especially important: Title IX legislation </w:t>
      </w:r>
      <w:r w:rsidR="00F66ED7" w:rsidRPr="009F7AE7">
        <w:rPr>
          <w:rFonts w:ascii="Arial" w:hAnsi="Arial" w:cs="Arial"/>
        </w:rPr>
        <w:t>(</w:t>
      </w:r>
      <w:r w:rsidRPr="009F7AE7">
        <w:rPr>
          <w:rFonts w:ascii="Arial" w:hAnsi="Arial" w:cs="Arial"/>
        </w:rPr>
        <w:t>3</w:t>
      </w:r>
      <w:r w:rsidR="00F66ED7" w:rsidRPr="009F7AE7">
        <w:rPr>
          <w:rFonts w:ascii="Arial" w:hAnsi="Arial" w:cs="Arial"/>
        </w:rPr>
        <w:t>)</w:t>
      </w:r>
      <w:r w:rsidRPr="009F7AE7">
        <w:rPr>
          <w:rFonts w:ascii="Arial" w:hAnsi="Arial" w:cs="Arial"/>
        </w:rPr>
        <w:t xml:space="preserve"> prohibits schools from sex discrimination in school-based sports’ programs; the Family Rights and Educational Privacy (FERPA) </w:t>
      </w:r>
      <w:r w:rsidR="00F66ED7" w:rsidRPr="009F7AE7">
        <w:rPr>
          <w:rFonts w:ascii="Arial" w:hAnsi="Arial" w:cs="Arial"/>
        </w:rPr>
        <w:t>(</w:t>
      </w:r>
      <w:r w:rsidRPr="009F7AE7">
        <w:rPr>
          <w:rFonts w:ascii="Arial" w:hAnsi="Arial" w:cs="Arial"/>
        </w:rPr>
        <w:t>4</w:t>
      </w:r>
      <w:r w:rsidR="00F66ED7" w:rsidRPr="009F7AE7">
        <w:rPr>
          <w:rFonts w:ascii="Arial" w:hAnsi="Arial" w:cs="Arial"/>
        </w:rPr>
        <w:t>)</w:t>
      </w:r>
      <w:r w:rsidRPr="009F7AE7">
        <w:rPr>
          <w:rFonts w:ascii="Arial" w:hAnsi="Arial" w:cs="Arial"/>
        </w:rPr>
        <w:t xml:space="preserve"> regulates access to and amendment of records that document directory and personally identifiable information of a student; and Title VII </w:t>
      </w:r>
      <w:r w:rsidR="00F66ED7" w:rsidRPr="009F7AE7">
        <w:rPr>
          <w:rFonts w:ascii="Arial" w:hAnsi="Arial" w:cs="Arial"/>
        </w:rPr>
        <w:t>(</w:t>
      </w:r>
      <w:r w:rsidRPr="009F7AE7">
        <w:rPr>
          <w:rFonts w:ascii="Arial" w:hAnsi="Arial" w:cs="Arial"/>
        </w:rPr>
        <w:t>5</w:t>
      </w:r>
      <w:r w:rsidR="00F66ED7" w:rsidRPr="009F7AE7">
        <w:rPr>
          <w:rFonts w:ascii="Arial" w:hAnsi="Arial" w:cs="Arial"/>
        </w:rPr>
        <w:t>)</w:t>
      </w:r>
      <w:r w:rsidRPr="009F7AE7">
        <w:rPr>
          <w:rFonts w:ascii="Arial" w:hAnsi="Arial" w:cs="Arial"/>
        </w:rPr>
        <w:t xml:space="preserve">, a law rooted in 1964 civil rights legislation, prohibits sex discrimination in employment (among other areas such as race, religion, and national origin). </w:t>
      </w:r>
    </w:p>
    <w:p w14:paraId="61534A56" w14:textId="5C7C9BD2"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lastRenderedPageBreak/>
        <w:t>Title VII is now expanded to include prohibitions against transgender employment discrimination. None of these laws explicitly define sex</w:t>
      </w:r>
      <w:r w:rsidR="00F66ED7" w:rsidRPr="009F7AE7">
        <w:rPr>
          <w:rFonts w:ascii="Arial" w:hAnsi="Arial" w:cs="Arial"/>
        </w:rPr>
        <w:t>,</w:t>
      </w:r>
      <w:r w:rsidRPr="009F7AE7">
        <w:rPr>
          <w:rFonts w:ascii="Arial" w:hAnsi="Arial" w:cs="Arial"/>
        </w:rPr>
        <w:t xml:space="preserve"> and it has been left to conflicting court opinions to provide meaning to the term.  </w:t>
      </w:r>
    </w:p>
    <w:p w14:paraId="5357BA81" w14:textId="77777777"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Conflict may exist, in part, because the circumstances of sport versus employment offer different contexts for interpretation of the intent of a statute. The impact of following societal norms on sex-based behaviors in employment may legitimately offer a basis to define sex in a more fluid context. However, the impact of ignoring physical differences between post pubescent males and females in allowing access to sport may legitimately offer a basis to define sex exclusively in a biological context. </w:t>
      </w:r>
    </w:p>
    <w:p w14:paraId="679ACAF7" w14:textId="77777777" w:rsidR="00C23F05" w:rsidRPr="009F7AE7" w:rsidRDefault="00C23F05" w:rsidP="00C23F05">
      <w:pPr>
        <w:pStyle w:val="NormalWeb"/>
        <w:shd w:val="clear" w:color="auto" w:fill="FFFFFF"/>
        <w:rPr>
          <w:rFonts w:ascii="Arial" w:hAnsi="Arial" w:cs="Arial"/>
          <w:b/>
          <w:bCs/>
        </w:rPr>
      </w:pPr>
      <w:r w:rsidRPr="009F7AE7">
        <w:rPr>
          <w:rFonts w:ascii="Arial" w:hAnsi="Arial" w:cs="Arial"/>
          <w:b/>
          <w:bCs/>
        </w:rPr>
        <w:t>Title IX and the Office of Civil Rights (OCR)</w:t>
      </w:r>
    </w:p>
    <w:p w14:paraId="38695958" w14:textId="5A69249B" w:rsidR="00C23F05" w:rsidRPr="009F7AE7" w:rsidRDefault="00C23F05" w:rsidP="00837CCA">
      <w:pPr>
        <w:pStyle w:val="NormalWeb"/>
        <w:spacing w:line="276" w:lineRule="auto"/>
        <w:ind w:right="90"/>
        <w:jc w:val="both"/>
        <w:rPr>
          <w:rFonts w:ascii="Arial" w:hAnsi="Arial" w:cs="Arial"/>
        </w:rPr>
      </w:pPr>
      <w:r w:rsidRPr="009F7AE7">
        <w:rPr>
          <w:rFonts w:ascii="Arial" w:hAnsi="Arial" w:cs="Arial"/>
        </w:rPr>
        <w:t>Title IX of the Education Amendments of 1972 prohibits sex-based discrimination in sport</w:t>
      </w:r>
      <w:r w:rsidR="00F66ED7" w:rsidRPr="009F7AE7">
        <w:rPr>
          <w:rFonts w:ascii="Arial" w:hAnsi="Arial" w:cs="Arial"/>
        </w:rPr>
        <w:t>,</w:t>
      </w:r>
      <w:r w:rsidRPr="009F7AE7">
        <w:rPr>
          <w:rFonts w:ascii="Arial" w:hAnsi="Arial" w:cs="Arial"/>
        </w:rPr>
        <w:t xml:space="preserve"> although it provides an exception for sex-segregated facilities such as locker rooms, restrooms, and showers.</w:t>
      </w:r>
      <w:r w:rsidRPr="009F7AE7">
        <w:rPr>
          <w:rFonts w:ascii="Arial" w:hAnsi="Arial" w:cs="Arial"/>
          <w:bCs/>
        </w:rPr>
        <w:t xml:space="preserve"> </w:t>
      </w:r>
      <w:r w:rsidRPr="009F7AE7">
        <w:rPr>
          <w:rFonts w:ascii="Arial" w:hAnsi="Arial" w:cs="Arial"/>
        </w:rPr>
        <w:t xml:space="preserve">The Office of Civil Rights (OCR) interprets Title IX in policies issued, largely to educational institutions in “Dear Colleague” letters </w:t>
      </w:r>
      <w:r w:rsidR="00F66ED7" w:rsidRPr="009F7AE7">
        <w:rPr>
          <w:rFonts w:ascii="Arial" w:hAnsi="Arial" w:cs="Arial"/>
        </w:rPr>
        <w:t>(</w:t>
      </w:r>
      <w:r w:rsidRPr="009F7AE7">
        <w:rPr>
          <w:rFonts w:ascii="Arial" w:hAnsi="Arial" w:cs="Arial"/>
        </w:rPr>
        <w:t>6</w:t>
      </w:r>
      <w:r w:rsidR="00F66ED7" w:rsidRPr="009F7AE7">
        <w:rPr>
          <w:rFonts w:ascii="Arial" w:hAnsi="Arial" w:cs="Arial"/>
        </w:rPr>
        <w:t>)</w:t>
      </w:r>
      <w:r w:rsidRPr="009F7AE7">
        <w:rPr>
          <w:rFonts w:ascii="Arial" w:hAnsi="Arial" w:cs="Arial"/>
        </w:rPr>
        <w:t xml:space="preserve">. These policies offer persuasive evidence but courts are not required to follow OCR policy. In 2016, two courts reached different holdings following the issuance of an OCR policy prohibiting discrimination based on a student’s gender identity and transgender status. </w:t>
      </w:r>
      <w:r w:rsidR="00F66ED7" w:rsidRPr="009F7AE7">
        <w:rPr>
          <w:rFonts w:ascii="Arial" w:hAnsi="Arial" w:cs="Arial"/>
        </w:rPr>
        <w:t xml:space="preserve">The </w:t>
      </w:r>
      <w:r w:rsidRPr="009F7AE7">
        <w:rPr>
          <w:rFonts w:ascii="Arial" w:hAnsi="Arial" w:cs="Arial"/>
        </w:rPr>
        <w:t xml:space="preserve">OCR policy required schools to allow transgender students access to locker rooms and rest rooms consistent with their gender identity. It also required schools to treat students consistent with their gender identity even when a student’s education records indicated a different sex </w:t>
      </w:r>
      <w:r w:rsidR="00F66ED7" w:rsidRPr="009F7AE7">
        <w:rPr>
          <w:rFonts w:ascii="Arial" w:hAnsi="Arial" w:cs="Arial"/>
        </w:rPr>
        <w:t>(</w:t>
      </w:r>
      <w:r w:rsidRPr="009F7AE7">
        <w:rPr>
          <w:rFonts w:ascii="Arial" w:hAnsi="Arial" w:cs="Arial"/>
        </w:rPr>
        <w:t>6</w:t>
      </w:r>
      <w:r w:rsidR="00F66ED7" w:rsidRPr="009F7AE7">
        <w:rPr>
          <w:rFonts w:ascii="Arial" w:hAnsi="Arial" w:cs="Arial"/>
        </w:rPr>
        <w:t>)</w:t>
      </w:r>
      <w:r w:rsidRPr="009F7AE7">
        <w:rPr>
          <w:rFonts w:ascii="Arial" w:hAnsi="Arial" w:cs="Arial"/>
        </w:rPr>
        <w:t>.</w:t>
      </w: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tblGrid>
      <w:tr w:rsidR="00F66ED7" w:rsidRPr="009F7AE7" w14:paraId="741004FB" w14:textId="77777777" w:rsidTr="003B7933">
        <w:tc>
          <w:tcPr>
            <w:tcW w:w="7920" w:type="dxa"/>
          </w:tcPr>
          <w:p w14:paraId="5C7E4AFF" w14:textId="3C7E1E9E" w:rsidR="00F66ED7" w:rsidRPr="009F7AE7" w:rsidRDefault="00F66ED7" w:rsidP="00837CCA">
            <w:pPr>
              <w:spacing w:line="276" w:lineRule="auto"/>
              <w:ind w:left="0" w:right="90" w:firstLine="0"/>
              <w:jc w:val="both"/>
              <w:rPr>
                <w:rFonts w:ascii="Arial" w:hAnsi="Arial" w:cs="Arial"/>
                <w:sz w:val="24"/>
                <w:szCs w:val="24"/>
              </w:rPr>
            </w:pPr>
            <w:r w:rsidRPr="009F7AE7">
              <w:rPr>
                <w:rFonts w:ascii="Arial" w:hAnsi="Arial" w:cs="Arial"/>
                <w:sz w:val="24"/>
                <w:szCs w:val="24"/>
              </w:rPr>
              <w:t>GG v</w:t>
            </w:r>
            <w:r w:rsidR="002D327F" w:rsidRPr="009F7AE7">
              <w:rPr>
                <w:rFonts w:ascii="Arial" w:hAnsi="Arial" w:cs="Arial"/>
                <w:sz w:val="24"/>
                <w:szCs w:val="24"/>
              </w:rPr>
              <w:t>s</w:t>
            </w:r>
            <w:r w:rsidRPr="009F7AE7">
              <w:rPr>
                <w:rFonts w:ascii="Arial" w:hAnsi="Arial" w:cs="Arial"/>
                <w:sz w:val="24"/>
                <w:szCs w:val="24"/>
              </w:rPr>
              <w:t xml:space="preserve">. Gloucester School Board (2016) (7) examined transgender access to restrooms and followed OCR policy. Relying upon a fluid definition of sex, the court held that Title IX requires schools to provide transgender students access to restrooms congruent with their gender identity (p. 715; p. 723). Conflicting definitions of sex were important to the ruling. (p. 720; pp. 721-722). </w:t>
            </w:r>
            <w:r w:rsidRPr="009F7AE7">
              <w:rPr>
                <w:rFonts w:ascii="Arial" w:eastAsia="Times New Roman" w:hAnsi="Arial" w:cs="Arial"/>
                <w:sz w:val="24"/>
                <w:szCs w:val="24"/>
              </w:rPr>
              <w:t>Texas v</w:t>
            </w:r>
            <w:r w:rsidR="003B7933" w:rsidRPr="009F7AE7">
              <w:rPr>
                <w:rFonts w:ascii="Arial" w:eastAsia="Times New Roman" w:hAnsi="Arial" w:cs="Arial"/>
                <w:sz w:val="24"/>
                <w:szCs w:val="24"/>
              </w:rPr>
              <w:t>s</w:t>
            </w:r>
            <w:r w:rsidRPr="009F7AE7">
              <w:rPr>
                <w:rFonts w:ascii="Arial" w:eastAsia="Times New Roman" w:hAnsi="Arial" w:cs="Arial"/>
                <w:sz w:val="24"/>
                <w:szCs w:val="24"/>
              </w:rPr>
              <w:t>. United States (2016) (8), also an access case, ruled differently. The court held that the meaning of sex refers to biological and anatomical differences between male and female students as determined at their birth (pp. 832-833).</w:t>
            </w:r>
          </w:p>
        </w:tc>
      </w:tr>
    </w:tbl>
    <w:p w14:paraId="1A220645" w14:textId="77777777" w:rsidR="003F5798" w:rsidRPr="009F7AE7" w:rsidRDefault="003F5798" w:rsidP="00C23F05">
      <w:pPr>
        <w:ind w:left="0" w:right="90" w:firstLine="0"/>
        <w:jc w:val="both"/>
        <w:rPr>
          <w:rFonts w:ascii="Arial" w:hAnsi="Arial" w:cs="Arial"/>
          <w:sz w:val="24"/>
          <w:szCs w:val="24"/>
        </w:rPr>
      </w:pPr>
    </w:p>
    <w:p w14:paraId="7D2F067F" w14:textId="77777777" w:rsidR="003F5798" w:rsidRPr="009F7AE7" w:rsidRDefault="003F5798" w:rsidP="00C23F05">
      <w:pPr>
        <w:ind w:left="0" w:right="90" w:firstLine="0"/>
        <w:jc w:val="both"/>
        <w:rPr>
          <w:rFonts w:ascii="Arial" w:hAnsi="Arial" w:cs="Arial"/>
          <w:sz w:val="24"/>
          <w:szCs w:val="24"/>
        </w:rPr>
      </w:pPr>
    </w:p>
    <w:p w14:paraId="3C956939" w14:textId="0EA6439E" w:rsidR="00C23F05" w:rsidRPr="009F7AE7" w:rsidRDefault="00C23F05" w:rsidP="00837CCA">
      <w:pPr>
        <w:spacing w:line="276" w:lineRule="auto"/>
        <w:ind w:left="0" w:right="90" w:firstLine="0"/>
        <w:jc w:val="both"/>
        <w:rPr>
          <w:rFonts w:ascii="Arial" w:hAnsi="Arial" w:cs="Arial"/>
          <w:sz w:val="24"/>
          <w:szCs w:val="24"/>
        </w:rPr>
      </w:pPr>
      <w:r w:rsidRPr="009F7AE7">
        <w:rPr>
          <w:rFonts w:ascii="Arial" w:hAnsi="Arial" w:cs="Arial"/>
          <w:sz w:val="24"/>
          <w:szCs w:val="24"/>
        </w:rPr>
        <w:t>GG v</w:t>
      </w:r>
      <w:r w:rsidR="003F5798" w:rsidRPr="009F7AE7">
        <w:rPr>
          <w:rFonts w:ascii="Arial" w:hAnsi="Arial" w:cs="Arial"/>
          <w:sz w:val="24"/>
          <w:szCs w:val="24"/>
        </w:rPr>
        <w:t>ersus</w:t>
      </w:r>
      <w:r w:rsidRPr="009F7AE7">
        <w:rPr>
          <w:rFonts w:ascii="Arial" w:hAnsi="Arial" w:cs="Arial"/>
          <w:sz w:val="24"/>
          <w:szCs w:val="24"/>
        </w:rPr>
        <w:t xml:space="preserve"> </w:t>
      </w:r>
      <w:r w:rsidR="003F5798" w:rsidRPr="009F7AE7">
        <w:rPr>
          <w:rFonts w:ascii="Arial" w:hAnsi="Arial" w:cs="Arial"/>
          <w:sz w:val="24"/>
          <w:szCs w:val="24"/>
        </w:rPr>
        <w:t xml:space="preserve">the </w:t>
      </w:r>
      <w:r w:rsidRPr="009F7AE7">
        <w:rPr>
          <w:rFonts w:ascii="Arial" w:hAnsi="Arial" w:cs="Arial"/>
          <w:sz w:val="24"/>
          <w:szCs w:val="24"/>
        </w:rPr>
        <w:t xml:space="preserve">Gloucester School Board (2016) </w:t>
      </w:r>
      <w:r w:rsidR="00F66ED7" w:rsidRPr="009F7AE7">
        <w:rPr>
          <w:rFonts w:ascii="Arial" w:hAnsi="Arial" w:cs="Arial"/>
          <w:sz w:val="24"/>
          <w:szCs w:val="24"/>
        </w:rPr>
        <w:t>(</w:t>
      </w:r>
      <w:r w:rsidRPr="009F7AE7">
        <w:rPr>
          <w:rFonts w:ascii="Arial" w:hAnsi="Arial" w:cs="Arial"/>
          <w:sz w:val="24"/>
          <w:szCs w:val="24"/>
        </w:rPr>
        <w:t>7</w:t>
      </w:r>
      <w:r w:rsidR="00F66ED7" w:rsidRPr="009F7AE7">
        <w:rPr>
          <w:rFonts w:ascii="Arial" w:hAnsi="Arial" w:cs="Arial"/>
          <w:sz w:val="24"/>
          <w:szCs w:val="24"/>
        </w:rPr>
        <w:t>)</w:t>
      </w:r>
      <w:r w:rsidRPr="009F7AE7">
        <w:rPr>
          <w:rFonts w:ascii="Arial" w:hAnsi="Arial" w:cs="Arial"/>
          <w:sz w:val="24"/>
          <w:szCs w:val="24"/>
        </w:rPr>
        <w:t xml:space="preserve"> examined transgender access to </w:t>
      </w:r>
      <w:r w:rsidR="003F5798" w:rsidRPr="009F7AE7">
        <w:rPr>
          <w:rFonts w:ascii="Arial" w:hAnsi="Arial" w:cs="Arial"/>
          <w:sz w:val="24"/>
          <w:szCs w:val="24"/>
        </w:rPr>
        <w:t xml:space="preserve">the </w:t>
      </w:r>
      <w:r w:rsidRPr="009F7AE7">
        <w:rPr>
          <w:rFonts w:ascii="Arial" w:hAnsi="Arial" w:cs="Arial"/>
          <w:sz w:val="24"/>
          <w:szCs w:val="24"/>
        </w:rPr>
        <w:t xml:space="preserve">restrooms and followed </w:t>
      </w:r>
      <w:r w:rsidR="003F5798" w:rsidRPr="009F7AE7">
        <w:rPr>
          <w:rFonts w:ascii="Arial" w:hAnsi="Arial" w:cs="Arial"/>
          <w:sz w:val="24"/>
          <w:szCs w:val="24"/>
        </w:rPr>
        <w:t xml:space="preserve">the </w:t>
      </w:r>
      <w:r w:rsidRPr="009F7AE7">
        <w:rPr>
          <w:rFonts w:ascii="Arial" w:hAnsi="Arial" w:cs="Arial"/>
          <w:sz w:val="24"/>
          <w:szCs w:val="24"/>
        </w:rPr>
        <w:t xml:space="preserve">OCR policy. Relying upon a fluid definition of sex, the court held that Title IX requires schools to provide transgender students </w:t>
      </w:r>
      <w:r w:rsidRPr="009F7AE7">
        <w:rPr>
          <w:rFonts w:ascii="Arial" w:hAnsi="Arial" w:cs="Arial"/>
          <w:sz w:val="24"/>
          <w:szCs w:val="24"/>
        </w:rPr>
        <w:lastRenderedPageBreak/>
        <w:t>access to restrooms congruent with their gender identity (p.</w:t>
      </w:r>
      <w:r w:rsidR="00F66ED7" w:rsidRPr="009F7AE7">
        <w:rPr>
          <w:rFonts w:ascii="Arial" w:hAnsi="Arial" w:cs="Arial"/>
          <w:sz w:val="24"/>
          <w:szCs w:val="24"/>
        </w:rPr>
        <w:t xml:space="preserve"> </w:t>
      </w:r>
      <w:r w:rsidRPr="009F7AE7">
        <w:rPr>
          <w:rFonts w:ascii="Arial" w:hAnsi="Arial" w:cs="Arial"/>
          <w:sz w:val="24"/>
          <w:szCs w:val="24"/>
        </w:rPr>
        <w:t>715; p.</w:t>
      </w:r>
      <w:r w:rsidR="00F66ED7" w:rsidRPr="009F7AE7">
        <w:rPr>
          <w:rFonts w:ascii="Arial" w:hAnsi="Arial" w:cs="Arial"/>
          <w:sz w:val="24"/>
          <w:szCs w:val="24"/>
        </w:rPr>
        <w:t xml:space="preserve"> </w:t>
      </w:r>
      <w:r w:rsidRPr="009F7AE7">
        <w:rPr>
          <w:rFonts w:ascii="Arial" w:hAnsi="Arial" w:cs="Arial"/>
          <w:sz w:val="24"/>
          <w:szCs w:val="24"/>
        </w:rPr>
        <w:t>723). Conflicting definitions of sex were important to the ruling. (p.</w:t>
      </w:r>
      <w:r w:rsidR="00F66ED7" w:rsidRPr="009F7AE7">
        <w:rPr>
          <w:rFonts w:ascii="Arial" w:hAnsi="Arial" w:cs="Arial"/>
          <w:sz w:val="24"/>
          <w:szCs w:val="24"/>
        </w:rPr>
        <w:t xml:space="preserve"> </w:t>
      </w:r>
      <w:r w:rsidRPr="009F7AE7">
        <w:rPr>
          <w:rFonts w:ascii="Arial" w:hAnsi="Arial" w:cs="Arial"/>
          <w:sz w:val="24"/>
          <w:szCs w:val="24"/>
        </w:rPr>
        <w:t xml:space="preserve">720; pp. 721-722). </w:t>
      </w:r>
      <w:r w:rsidRPr="009F7AE7">
        <w:rPr>
          <w:rFonts w:ascii="Arial" w:eastAsia="Times New Roman" w:hAnsi="Arial" w:cs="Arial"/>
          <w:sz w:val="24"/>
          <w:szCs w:val="24"/>
        </w:rPr>
        <w:t>Texas v</w:t>
      </w:r>
      <w:r w:rsidR="003F5798" w:rsidRPr="009F7AE7">
        <w:rPr>
          <w:rFonts w:ascii="Arial" w:eastAsia="Times New Roman" w:hAnsi="Arial" w:cs="Arial"/>
          <w:sz w:val="24"/>
          <w:szCs w:val="24"/>
        </w:rPr>
        <w:t>s</w:t>
      </w:r>
      <w:r w:rsidRPr="009F7AE7">
        <w:rPr>
          <w:rFonts w:ascii="Arial" w:eastAsia="Times New Roman" w:hAnsi="Arial" w:cs="Arial"/>
          <w:sz w:val="24"/>
          <w:szCs w:val="24"/>
        </w:rPr>
        <w:t xml:space="preserve">. United States (2016) </w:t>
      </w:r>
      <w:r w:rsidR="00F66ED7" w:rsidRPr="009F7AE7">
        <w:rPr>
          <w:rFonts w:ascii="Arial" w:eastAsia="Times New Roman" w:hAnsi="Arial" w:cs="Arial"/>
          <w:sz w:val="24"/>
          <w:szCs w:val="24"/>
        </w:rPr>
        <w:t>(</w:t>
      </w:r>
      <w:r w:rsidRPr="009F7AE7">
        <w:rPr>
          <w:rFonts w:ascii="Arial" w:eastAsia="Times New Roman" w:hAnsi="Arial" w:cs="Arial"/>
          <w:sz w:val="24"/>
          <w:szCs w:val="24"/>
        </w:rPr>
        <w:t>8</w:t>
      </w:r>
      <w:r w:rsidR="00F66ED7" w:rsidRPr="009F7AE7">
        <w:rPr>
          <w:rFonts w:ascii="Arial" w:eastAsia="Times New Roman" w:hAnsi="Arial" w:cs="Arial"/>
          <w:sz w:val="24"/>
          <w:szCs w:val="24"/>
        </w:rPr>
        <w:t>)</w:t>
      </w:r>
      <w:r w:rsidRPr="009F7AE7">
        <w:rPr>
          <w:rFonts w:ascii="Arial" w:eastAsia="Times New Roman" w:hAnsi="Arial" w:cs="Arial"/>
          <w:sz w:val="24"/>
          <w:szCs w:val="24"/>
        </w:rPr>
        <w:t>, also an access case, ruled differently. The court held that the meaning of sex refers to biological and anatomical differences between male and female students as determined at their birth (pp.</w:t>
      </w:r>
      <w:r w:rsidR="00F66ED7" w:rsidRPr="009F7AE7">
        <w:rPr>
          <w:rFonts w:ascii="Arial" w:eastAsia="Times New Roman" w:hAnsi="Arial" w:cs="Arial"/>
          <w:sz w:val="24"/>
          <w:szCs w:val="24"/>
        </w:rPr>
        <w:t xml:space="preserve"> </w:t>
      </w:r>
      <w:r w:rsidRPr="009F7AE7">
        <w:rPr>
          <w:rFonts w:ascii="Arial" w:eastAsia="Times New Roman" w:hAnsi="Arial" w:cs="Arial"/>
          <w:sz w:val="24"/>
          <w:szCs w:val="24"/>
        </w:rPr>
        <w:t>832-833).</w:t>
      </w:r>
    </w:p>
    <w:p w14:paraId="4AF28AE5" w14:textId="77777777" w:rsidR="00C23F05" w:rsidRPr="009F7AE7" w:rsidRDefault="00C23F05" w:rsidP="00837CCA">
      <w:pPr>
        <w:pStyle w:val="NormalWeb"/>
        <w:spacing w:line="276" w:lineRule="auto"/>
        <w:ind w:right="90"/>
        <w:jc w:val="both"/>
        <w:rPr>
          <w:rFonts w:ascii="Arial" w:hAnsi="Arial" w:cs="Arial"/>
          <w:bCs/>
        </w:rPr>
      </w:pPr>
      <w:r w:rsidRPr="009F7AE7">
        <w:rPr>
          <w:rFonts w:ascii="Arial" w:hAnsi="Arial" w:cs="Arial"/>
          <w:bCs/>
        </w:rPr>
        <w:t xml:space="preserve">Access to restrooms is a specific context, different from sports participation and employment. Nevertheless, it is reasonable to assert that conflicting court rulings are an outcome of legislative failures to explicitly define sex. </w:t>
      </w:r>
    </w:p>
    <w:p w14:paraId="55C74F34" w14:textId="1533886B" w:rsidR="00C23F05" w:rsidRPr="009F7AE7" w:rsidRDefault="00C23F05" w:rsidP="00837CCA">
      <w:pPr>
        <w:pStyle w:val="NormalWeb"/>
        <w:spacing w:line="276" w:lineRule="auto"/>
        <w:jc w:val="both"/>
        <w:rPr>
          <w:rFonts w:ascii="Arial" w:hAnsi="Arial" w:cs="Arial"/>
        </w:rPr>
      </w:pPr>
      <w:r w:rsidRPr="009F7AE7">
        <w:rPr>
          <w:rFonts w:ascii="Arial" w:hAnsi="Arial" w:cs="Arial"/>
          <w:bCs/>
        </w:rPr>
        <w:t xml:space="preserve">Most recently, President </w:t>
      </w:r>
      <w:r w:rsidRPr="009F7AE7">
        <w:rPr>
          <w:rFonts w:ascii="Arial" w:hAnsi="Arial" w:cs="Arial"/>
        </w:rPr>
        <w:t>Joe Biden on Jan</w:t>
      </w:r>
      <w:r w:rsidR="002D327F" w:rsidRPr="009F7AE7">
        <w:rPr>
          <w:rFonts w:ascii="Arial" w:hAnsi="Arial" w:cs="Arial"/>
        </w:rPr>
        <w:t>uary</w:t>
      </w:r>
      <w:r w:rsidRPr="009F7AE7">
        <w:rPr>
          <w:rFonts w:ascii="Arial" w:hAnsi="Arial" w:cs="Arial"/>
        </w:rPr>
        <w:t xml:space="preserve"> 20, 2021 signed an “Executive Order on Preventing and Combating Discrimination on the Basis of Gender Identity or Sexual Orientation” </w:t>
      </w:r>
      <w:r w:rsidR="002D327F" w:rsidRPr="009F7AE7">
        <w:rPr>
          <w:rFonts w:ascii="Arial" w:hAnsi="Arial" w:cs="Arial"/>
        </w:rPr>
        <w:t>(</w:t>
      </w:r>
      <w:r w:rsidRPr="009F7AE7">
        <w:rPr>
          <w:rFonts w:ascii="Arial" w:hAnsi="Arial" w:cs="Arial"/>
        </w:rPr>
        <w:t>9</w:t>
      </w:r>
      <w:r w:rsidR="002D327F" w:rsidRPr="009F7AE7">
        <w:rPr>
          <w:rFonts w:ascii="Arial" w:hAnsi="Arial" w:cs="Arial"/>
        </w:rPr>
        <w:t>)</w:t>
      </w:r>
      <w:r w:rsidRPr="009F7AE7">
        <w:rPr>
          <w:rFonts w:ascii="Arial" w:hAnsi="Arial" w:cs="Arial"/>
        </w:rPr>
        <w:t xml:space="preserve">. The order stated “Every person should be treated with respect and dignity and should be able to live without fear, no matter who they are or whom they love” </w:t>
      </w:r>
      <w:r w:rsidR="002D327F" w:rsidRPr="009F7AE7">
        <w:rPr>
          <w:rFonts w:ascii="Arial" w:hAnsi="Arial" w:cs="Arial"/>
        </w:rPr>
        <w:t>(</w:t>
      </w:r>
      <w:r w:rsidRPr="009F7AE7">
        <w:rPr>
          <w:rFonts w:ascii="Arial" w:hAnsi="Arial" w:cs="Arial"/>
        </w:rPr>
        <w:t>9</w:t>
      </w:r>
      <w:r w:rsidR="002D327F" w:rsidRPr="009F7AE7">
        <w:rPr>
          <w:rFonts w:ascii="Arial" w:hAnsi="Arial" w:cs="Arial"/>
        </w:rPr>
        <w:t>)</w:t>
      </w:r>
      <w:r w:rsidRPr="009F7AE7">
        <w:rPr>
          <w:rFonts w:ascii="Arial" w:hAnsi="Arial" w:cs="Arial"/>
        </w:rPr>
        <w:t>. It went on to say</w:t>
      </w:r>
      <w:r w:rsidR="002D327F" w:rsidRPr="009F7AE7">
        <w:rPr>
          <w:rFonts w:ascii="Arial" w:hAnsi="Arial" w:cs="Arial"/>
        </w:rPr>
        <w:t>,</w:t>
      </w:r>
      <w:r w:rsidRPr="009F7AE7">
        <w:rPr>
          <w:rFonts w:ascii="Arial" w:hAnsi="Arial" w:cs="Arial"/>
        </w:rPr>
        <w:t xml:space="preserve"> “Children should be able to learn without worrying about whether they will be denied access to the restroom, the locker room, or school sports” </w:t>
      </w:r>
      <w:r w:rsidR="002D327F" w:rsidRPr="009F7AE7">
        <w:rPr>
          <w:rFonts w:ascii="Arial" w:hAnsi="Arial" w:cs="Arial"/>
        </w:rPr>
        <w:t>(</w:t>
      </w:r>
      <w:r w:rsidRPr="009F7AE7">
        <w:rPr>
          <w:rFonts w:ascii="Arial" w:hAnsi="Arial" w:cs="Arial"/>
        </w:rPr>
        <w:t>9</w:t>
      </w:r>
      <w:r w:rsidR="002D327F" w:rsidRPr="009F7AE7">
        <w:rPr>
          <w:rFonts w:ascii="Arial" w:hAnsi="Arial" w:cs="Arial"/>
        </w:rPr>
        <w:t>)</w:t>
      </w:r>
      <w:r w:rsidRPr="009F7AE7">
        <w:rPr>
          <w:rFonts w:ascii="Arial" w:hAnsi="Arial" w:cs="Arial"/>
        </w:rPr>
        <w:t>. The order does not specifically address transgender participation in sport</w:t>
      </w:r>
      <w:r w:rsidR="002D327F" w:rsidRPr="009F7AE7">
        <w:rPr>
          <w:rFonts w:ascii="Arial" w:hAnsi="Arial" w:cs="Arial"/>
        </w:rPr>
        <w:t>,</w:t>
      </w:r>
      <w:r w:rsidRPr="009F7AE7">
        <w:rPr>
          <w:rFonts w:ascii="Arial" w:hAnsi="Arial" w:cs="Arial"/>
        </w:rPr>
        <w:t xml:space="preserve"> but it is widely believed to support inclusion and access.  </w:t>
      </w:r>
    </w:p>
    <w:p w14:paraId="5A3659D4" w14:textId="77777777" w:rsidR="00C23F05" w:rsidRPr="009F7AE7" w:rsidRDefault="00C23F05" w:rsidP="00C23F05">
      <w:pPr>
        <w:ind w:left="360"/>
        <w:rPr>
          <w:rFonts w:ascii="Arial" w:eastAsia="Times New Roman" w:hAnsi="Arial" w:cs="Arial"/>
          <w:b/>
          <w:bCs/>
          <w:sz w:val="24"/>
          <w:szCs w:val="24"/>
        </w:rPr>
      </w:pPr>
      <w:r w:rsidRPr="009F7AE7">
        <w:rPr>
          <w:rFonts w:ascii="Arial" w:eastAsia="Times New Roman" w:hAnsi="Arial" w:cs="Arial"/>
          <w:b/>
          <w:bCs/>
          <w:sz w:val="24"/>
          <w:szCs w:val="24"/>
        </w:rPr>
        <w:t>The Family Educational Rights and Privacy Act (</w:t>
      </w:r>
      <w:r w:rsidRPr="009F7AE7">
        <w:rPr>
          <w:rFonts w:ascii="Arial" w:hAnsi="Arial" w:cs="Arial"/>
          <w:b/>
          <w:bCs/>
          <w:sz w:val="24"/>
          <w:szCs w:val="24"/>
        </w:rPr>
        <w:t>FERPA)</w:t>
      </w:r>
    </w:p>
    <w:p w14:paraId="7220EEFB" w14:textId="55694633" w:rsidR="00C23F05" w:rsidRPr="009F7AE7" w:rsidRDefault="00C23F05" w:rsidP="00837CCA">
      <w:pPr>
        <w:pStyle w:val="NormalWeb"/>
        <w:spacing w:line="276" w:lineRule="auto"/>
        <w:jc w:val="both"/>
        <w:rPr>
          <w:rFonts w:ascii="Arial" w:hAnsi="Arial" w:cs="Arial"/>
        </w:rPr>
      </w:pPr>
      <w:r w:rsidRPr="009F7AE7">
        <w:rPr>
          <w:rFonts w:ascii="Arial" w:hAnsi="Arial" w:cs="Arial"/>
        </w:rPr>
        <w:t xml:space="preserve">FERPA regulates privacy and access to educational programs on behalf of students. Educational documents create “directory information” and “personally identifiable information” about students that include, for example, a student’s name, address, photograph, participation in officially recognized sports, height and weight of athletic teams, etc. A student has the right to petition for an amendment to the record if the information is or the student believes the information is inaccurate or misleading </w:t>
      </w:r>
      <w:r w:rsidR="002D327F" w:rsidRPr="009F7AE7">
        <w:rPr>
          <w:rFonts w:ascii="Arial" w:hAnsi="Arial" w:cs="Arial"/>
        </w:rPr>
        <w:t>(</w:t>
      </w:r>
      <w:r w:rsidRPr="009F7AE7">
        <w:rPr>
          <w:rFonts w:ascii="Arial" w:hAnsi="Arial" w:cs="Arial"/>
        </w:rPr>
        <w:t>10</w:t>
      </w:r>
      <w:r w:rsidR="002D327F" w:rsidRPr="009F7AE7">
        <w:rPr>
          <w:rFonts w:ascii="Arial" w:hAnsi="Arial" w:cs="Arial"/>
        </w:rPr>
        <w:t>)</w:t>
      </w:r>
      <w:r w:rsidRPr="009F7AE7">
        <w:rPr>
          <w:rFonts w:ascii="Arial" w:hAnsi="Arial" w:cs="Arial"/>
        </w:rPr>
        <w:t>. The sex of a transgender student could depend on whether sex is exclusively biologically defined. In fact, keeping sex/gender unamended may violate privacy rights. Powell v</w:t>
      </w:r>
      <w:r w:rsidR="002D327F" w:rsidRPr="009F7AE7">
        <w:rPr>
          <w:rFonts w:ascii="Arial" w:hAnsi="Arial" w:cs="Arial"/>
        </w:rPr>
        <w:t>s</w:t>
      </w:r>
      <w:r w:rsidRPr="009F7AE7">
        <w:rPr>
          <w:rFonts w:ascii="Arial" w:hAnsi="Arial" w:cs="Arial"/>
        </w:rPr>
        <w:t xml:space="preserve">. Shriver (1999) </w:t>
      </w:r>
      <w:r w:rsidR="002D327F" w:rsidRPr="009F7AE7">
        <w:rPr>
          <w:rFonts w:ascii="Arial" w:hAnsi="Arial" w:cs="Arial"/>
        </w:rPr>
        <w:t>(</w:t>
      </w:r>
      <w:r w:rsidRPr="009F7AE7">
        <w:rPr>
          <w:rFonts w:ascii="Arial" w:hAnsi="Arial" w:cs="Arial"/>
        </w:rPr>
        <w:t>11</w:t>
      </w:r>
      <w:r w:rsidR="002D327F" w:rsidRPr="009F7AE7">
        <w:rPr>
          <w:rFonts w:ascii="Arial" w:hAnsi="Arial" w:cs="Arial"/>
        </w:rPr>
        <w:t>)</w:t>
      </w:r>
      <w:r w:rsidRPr="009F7AE7">
        <w:rPr>
          <w:rFonts w:ascii="Arial" w:hAnsi="Arial" w:cs="Arial"/>
        </w:rPr>
        <w:t xml:space="preserve"> held that</w:t>
      </w:r>
      <w:r w:rsidR="002D327F" w:rsidRPr="009F7AE7">
        <w:rPr>
          <w:rFonts w:ascii="Arial" w:hAnsi="Arial" w:cs="Arial"/>
        </w:rPr>
        <w:t>,</w:t>
      </w:r>
      <w:r w:rsidRPr="009F7AE7">
        <w:rPr>
          <w:rFonts w:ascii="Arial" w:hAnsi="Arial" w:cs="Arial"/>
        </w:rPr>
        <w:t xml:space="preserve"> “Excruciatingly private and intimate nature of being transgender for persons who wish to preserve privacy in the matter is really beyond debate.”</w:t>
      </w:r>
    </w:p>
    <w:p w14:paraId="747D12A2" w14:textId="00E90BA7" w:rsidR="00C23F05" w:rsidRPr="009F7AE7" w:rsidRDefault="00C23F05" w:rsidP="00837CCA">
      <w:pPr>
        <w:pStyle w:val="NormalWeb"/>
        <w:spacing w:line="276" w:lineRule="auto"/>
        <w:jc w:val="both"/>
        <w:rPr>
          <w:rFonts w:ascii="Arial" w:hAnsi="Arial" w:cs="Arial"/>
        </w:rPr>
      </w:pPr>
      <w:r w:rsidRPr="009F7AE7">
        <w:rPr>
          <w:rFonts w:ascii="Arial" w:hAnsi="Arial" w:cs="Arial"/>
        </w:rPr>
        <w:t xml:space="preserve">FERPA has been used to amend the record for students who self-identify differently from the school record. FERPA requires due process including a hearing when a request to amend an educational record has been denied. This is a pathway for the transgender student to participate in sports programs consistent with sociology but not biology. In the absence of a legally enforceable definition of sex, fairness in the interpretation of laws </w:t>
      </w:r>
      <w:r w:rsidR="002D327F" w:rsidRPr="009F7AE7">
        <w:rPr>
          <w:rFonts w:ascii="Arial" w:hAnsi="Arial" w:cs="Arial"/>
        </w:rPr>
        <w:t xml:space="preserve">and </w:t>
      </w:r>
      <w:r w:rsidRPr="009F7AE7">
        <w:rPr>
          <w:rFonts w:ascii="Arial" w:hAnsi="Arial" w:cs="Arial"/>
        </w:rPr>
        <w:t xml:space="preserve">policies designed to offer fairness in access to school sport for both sexes can be compromised. </w:t>
      </w:r>
    </w:p>
    <w:p w14:paraId="7D40D000" w14:textId="77777777" w:rsidR="00C23F05" w:rsidRPr="009F7AE7" w:rsidRDefault="00C23F05" w:rsidP="00C23F05">
      <w:pPr>
        <w:pStyle w:val="NormalWeb"/>
        <w:shd w:val="clear" w:color="auto" w:fill="FFFFFF"/>
        <w:rPr>
          <w:rFonts w:ascii="Arial" w:hAnsi="Arial" w:cs="Arial"/>
          <w:b/>
          <w:bCs/>
        </w:rPr>
      </w:pPr>
      <w:r w:rsidRPr="009F7AE7">
        <w:rPr>
          <w:rFonts w:ascii="Arial" w:hAnsi="Arial" w:cs="Arial"/>
          <w:b/>
          <w:bCs/>
        </w:rPr>
        <w:lastRenderedPageBreak/>
        <w:t>Title VII</w:t>
      </w:r>
    </w:p>
    <w:p w14:paraId="3A7899A5" w14:textId="79203F93"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 xml:space="preserve">Title VII is 1964 legislation that prohibits employment-based discrimination based on race, national origin, religion, and sex </w:t>
      </w:r>
      <w:r w:rsidR="002D327F" w:rsidRPr="009F7AE7">
        <w:rPr>
          <w:rFonts w:ascii="Arial" w:hAnsi="Arial" w:cs="Arial"/>
        </w:rPr>
        <w:t>(</w:t>
      </w:r>
      <w:r w:rsidRPr="009F7AE7">
        <w:rPr>
          <w:rFonts w:ascii="Arial" w:hAnsi="Arial" w:cs="Arial"/>
        </w:rPr>
        <w:t>5</w:t>
      </w:r>
      <w:r w:rsidR="002D327F" w:rsidRPr="009F7AE7">
        <w:rPr>
          <w:rFonts w:ascii="Arial" w:hAnsi="Arial" w:cs="Arial"/>
        </w:rPr>
        <w:t>)</w:t>
      </w:r>
      <w:r w:rsidRPr="009F7AE7">
        <w:rPr>
          <w:rFonts w:ascii="Arial" w:hAnsi="Arial" w:cs="Arial"/>
        </w:rPr>
        <w:t xml:space="preserve">. Shortly after the law’s passage, one </w:t>
      </w:r>
      <w:r w:rsidR="008D30BD" w:rsidRPr="009F7AE7">
        <w:rPr>
          <w:rFonts w:ascii="Arial" w:hAnsi="Arial" w:cs="Arial"/>
        </w:rPr>
        <w:t xml:space="preserve">Commissioner of the </w:t>
      </w:r>
      <w:r w:rsidRPr="009F7AE7">
        <w:rPr>
          <w:rFonts w:ascii="Arial" w:hAnsi="Arial" w:cs="Arial"/>
        </w:rPr>
        <w:t xml:space="preserve">Equal Employment Opportunity Commission (EEOC) observed that the words of “the sex provision of Title VII [are] difficult to . . . control” </w:t>
      </w:r>
      <w:r w:rsidR="008D30BD" w:rsidRPr="009F7AE7">
        <w:rPr>
          <w:rFonts w:ascii="Arial" w:hAnsi="Arial" w:cs="Arial"/>
        </w:rPr>
        <w:t>(</w:t>
      </w:r>
      <w:r w:rsidRPr="009F7AE7">
        <w:rPr>
          <w:rFonts w:ascii="Arial" w:hAnsi="Arial" w:cs="Arial"/>
        </w:rPr>
        <w:t>1</w:t>
      </w:r>
      <w:r w:rsidR="008D30BD" w:rsidRPr="009F7AE7">
        <w:rPr>
          <w:rFonts w:ascii="Arial" w:hAnsi="Arial" w:cs="Arial"/>
        </w:rPr>
        <w:t>)</w:t>
      </w:r>
      <w:r w:rsidRPr="009F7AE7">
        <w:rPr>
          <w:rFonts w:ascii="Arial" w:hAnsi="Arial" w:cs="Arial"/>
        </w:rPr>
        <w:t>. Price Waterhouse v</w:t>
      </w:r>
      <w:r w:rsidR="008D30BD" w:rsidRPr="009F7AE7">
        <w:rPr>
          <w:rFonts w:ascii="Arial" w:hAnsi="Arial" w:cs="Arial"/>
        </w:rPr>
        <w:t>s</w:t>
      </w:r>
      <w:r w:rsidRPr="009F7AE7">
        <w:rPr>
          <w:rFonts w:ascii="Arial" w:hAnsi="Arial" w:cs="Arial"/>
        </w:rPr>
        <w:t xml:space="preserve">. Hopkins (1989) </w:t>
      </w:r>
      <w:r w:rsidR="008D30BD" w:rsidRPr="009F7AE7">
        <w:rPr>
          <w:rFonts w:ascii="Arial" w:hAnsi="Arial" w:cs="Arial"/>
        </w:rPr>
        <w:t>(</w:t>
      </w:r>
      <w:r w:rsidRPr="009F7AE7">
        <w:rPr>
          <w:rFonts w:ascii="Arial" w:hAnsi="Arial" w:cs="Arial"/>
        </w:rPr>
        <w:t>12</w:t>
      </w:r>
      <w:r w:rsidR="008D30BD" w:rsidRPr="009F7AE7">
        <w:rPr>
          <w:rFonts w:ascii="Arial" w:hAnsi="Arial" w:cs="Arial"/>
        </w:rPr>
        <w:t>)</w:t>
      </w:r>
      <w:r w:rsidRPr="009F7AE7">
        <w:rPr>
          <w:rFonts w:ascii="Arial" w:hAnsi="Arial" w:cs="Arial"/>
        </w:rPr>
        <w:t xml:space="preserve"> tested discrimination against an employee on the basis of sex-stereotyping or expected social norms based on th</w:t>
      </w:r>
      <w:r w:rsidR="008D30BD" w:rsidRPr="009F7AE7">
        <w:rPr>
          <w:rFonts w:ascii="Arial" w:hAnsi="Arial" w:cs="Arial"/>
        </w:rPr>
        <w:t>e</w:t>
      </w:r>
      <w:r w:rsidRPr="009F7AE7">
        <w:rPr>
          <w:rFonts w:ascii="Arial" w:hAnsi="Arial" w:cs="Arial"/>
        </w:rPr>
        <w:t xml:space="preserve"> person’s gender. The Courts found this to be impermissible sex discrimination, a violation of Title VII </w:t>
      </w:r>
      <w:r w:rsidR="008D30BD" w:rsidRPr="009F7AE7">
        <w:rPr>
          <w:rFonts w:ascii="Arial" w:hAnsi="Arial" w:cs="Arial"/>
        </w:rPr>
        <w:t>(</w:t>
      </w:r>
      <w:r w:rsidRPr="009F7AE7">
        <w:rPr>
          <w:rFonts w:ascii="Arial" w:hAnsi="Arial" w:cs="Arial"/>
        </w:rPr>
        <w:t>12</w:t>
      </w:r>
      <w:r w:rsidR="008D30BD" w:rsidRPr="009F7AE7">
        <w:rPr>
          <w:rFonts w:ascii="Arial" w:hAnsi="Arial" w:cs="Arial"/>
        </w:rPr>
        <w:t>)</w:t>
      </w:r>
      <w:r w:rsidRPr="009F7AE7">
        <w:rPr>
          <w:rFonts w:ascii="Arial" w:hAnsi="Arial" w:cs="Arial"/>
        </w:rPr>
        <w:t>.</w:t>
      </w:r>
    </w:p>
    <w:p w14:paraId="3FAB1C58" w14:textId="128B5BC4" w:rsidR="00C23F05" w:rsidRPr="009F7AE7" w:rsidRDefault="00C23F05" w:rsidP="00837CCA">
      <w:pPr>
        <w:pStyle w:val="NormalWeb"/>
        <w:shd w:val="clear" w:color="auto" w:fill="FFFFFF"/>
        <w:spacing w:line="276" w:lineRule="auto"/>
        <w:jc w:val="both"/>
        <w:rPr>
          <w:rFonts w:ascii="Arial" w:hAnsi="Arial" w:cs="Arial"/>
        </w:rPr>
      </w:pPr>
      <w:r w:rsidRPr="009F7AE7">
        <w:rPr>
          <w:rFonts w:ascii="Arial" w:hAnsi="Arial" w:cs="Arial"/>
        </w:rPr>
        <w:t>Sex discrimination based on sexual preference and/or transgender status is now included under the umbrella of Title VII, but not without controversy or disagreement. It is not clear whether transgender/homosexual status per se or sex stereotyping rooted in a failure to conform to societal norms is the basis for a determination of whether sex discrimination impermissibly occurred. Does Title VII prohibit the entire spectrum of disparate treatment based on sex? Or is there a principal evil that this statute i</w:t>
      </w:r>
      <w:r w:rsidR="008D30BD" w:rsidRPr="009F7AE7">
        <w:rPr>
          <w:rFonts w:ascii="Arial" w:hAnsi="Arial" w:cs="Arial"/>
        </w:rPr>
        <w:t>s</w:t>
      </w:r>
      <w:r w:rsidRPr="009F7AE7">
        <w:rPr>
          <w:rFonts w:ascii="Arial" w:hAnsi="Arial" w:cs="Arial"/>
        </w:rPr>
        <w:t xml:space="preserve"> intended to protect against?</w:t>
      </w:r>
    </w:p>
    <w:p w14:paraId="226B27CC" w14:textId="438F9693" w:rsidR="00C23F05" w:rsidRPr="009F7AE7" w:rsidRDefault="00C23F05" w:rsidP="001C6A03">
      <w:pPr>
        <w:pStyle w:val="NormalWeb"/>
        <w:shd w:val="clear" w:color="auto" w:fill="FFFFFF"/>
        <w:spacing w:line="276" w:lineRule="auto"/>
        <w:jc w:val="both"/>
        <w:rPr>
          <w:rFonts w:ascii="Arial" w:hAnsi="Arial" w:cs="Arial"/>
        </w:rPr>
      </w:pPr>
      <w:r w:rsidRPr="009F7AE7">
        <w:rPr>
          <w:rFonts w:ascii="Arial" w:hAnsi="Arial" w:cs="Arial"/>
        </w:rPr>
        <w:t>These questions were finessed in Bostock v</w:t>
      </w:r>
      <w:r w:rsidR="008D30BD" w:rsidRPr="009F7AE7">
        <w:rPr>
          <w:rFonts w:ascii="Arial" w:hAnsi="Arial" w:cs="Arial"/>
        </w:rPr>
        <w:t>s</w:t>
      </w:r>
      <w:r w:rsidRPr="009F7AE7">
        <w:rPr>
          <w:rFonts w:ascii="Arial" w:hAnsi="Arial" w:cs="Arial"/>
        </w:rPr>
        <w:t xml:space="preserve">. Clayton County (2020) when the Court addressed transgender and homosexual discrimination in an employment context </w:t>
      </w:r>
      <w:r w:rsidR="008D30BD" w:rsidRPr="009F7AE7">
        <w:rPr>
          <w:rFonts w:ascii="Arial" w:hAnsi="Arial" w:cs="Arial"/>
        </w:rPr>
        <w:t>(</w:t>
      </w:r>
      <w:r w:rsidRPr="009F7AE7">
        <w:rPr>
          <w:rFonts w:ascii="Arial" w:hAnsi="Arial" w:cs="Arial"/>
        </w:rPr>
        <w:t>1</w:t>
      </w:r>
      <w:r w:rsidR="008D30BD" w:rsidRPr="009F7AE7">
        <w:rPr>
          <w:rFonts w:ascii="Arial" w:hAnsi="Arial" w:cs="Arial"/>
        </w:rPr>
        <w:t>)</w:t>
      </w:r>
      <w:r w:rsidRPr="009F7AE7">
        <w:rPr>
          <w:rFonts w:ascii="Arial" w:hAnsi="Arial" w:cs="Arial"/>
        </w:rPr>
        <w:t xml:space="preserve">. The Supreme Court held that an employer who fires an individual for being gay or transgender violates Title VII. In reaching this holding, the Court sided with the County and defined sex as the biological distinctions between males and females.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00"/>
      </w:tblGrid>
      <w:tr w:rsidR="009F7AE7" w:rsidRPr="009F7AE7" w14:paraId="007492FE" w14:textId="77777777" w:rsidTr="003B7933">
        <w:trPr>
          <w:trHeight w:val="4175"/>
        </w:trPr>
        <w:tc>
          <w:tcPr>
            <w:tcW w:w="8100" w:type="dxa"/>
          </w:tcPr>
          <w:p w14:paraId="197544D6" w14:textId="393EFCC7" w:rsidR="008D30BD" w:rsidRPr="009F7AE7" w:rsidRDefault="008D30BD" w:rsidP="001C6A03">
            <w:pPr>
              <w:pStyle w:val="NormalWeb"/>
              <w:shd w:val="clear" w:color="auto" w:fill="FFFFFF"/>
              <w:spacing w:before="0" w:beforeAutospacing="0" w:after="0" w:afterAutospacing="0" w:line="276" w:lineRule="auto"/>
              <w:jc w:val="both"/>
              <w:rPr>
                <w:rFonts w:ascii="Arial" w:hAnsi="Arial" w:cs="Arial"/>
              </w:rPr>
            </w:pPr>
            <w:bookmarkStart w:id="0" w:name="_Hlk65476881"/>
            <w:r w:rsidRPr="009F7AE7">
              <w:rPr>
                <w:rFonts w:ascii="Arial" w:hAnsi="Arial" w:cs="Arial"/>
              </w:rPr>
              <w:t>The only statutorily protected characteristic at issue in today’s cases is “sex”</w:t>
            </w:r>
            <w:r w:rsidR="003B7933" w:rsidRPr="009F7AE7">
              <w:rPr>
                <w:rFonts w:ascii="Arial" w:hAnsi="Arial" w:cs="Arial"/>
              </w:rPr>
              <w:t xml:space="preserve"> </w:t>
            </w:r>
            <w:r w:rsidRPr="009F7AE7">
              <w:rPr>
                <w:rFonts w:ascii="Arial" w:hAnsi="Arial" w:cs="Arial"/>
              </w:rPr>
              <w:t>—</w:t>
            </w:r>
            <w:r w:rsidR="003B7933" w:rsidRPr="009F7AE7">
              <w:rPr>
                <w:rFonts w:ascii="Arial" w:hAnsi="Arial" w:cs="Arial"/>
              </w:rPr>
              <w:t xml:space="preserve"> </w:t>
            </w:r>
            <w:r w:rsidRPr="009F7AE7">
              <w:rPr>
                <w:rFonts w:ascii="Arial" w:hAnsi="Arial" w:cs="Arial"/>
              </w:rPr>
              <w:t xml:space="preserve">and that is also the primary term in Title VII </w:t>
            </w:r>
            <w:r w:rsidR="003B7933" w:rsidRPr="009F7AE7">
              <w:rPr>
                <w:rFonts w:ascii="Arial" w:hAnsi="Arial" w:cs="Arial"/>
              </w:rPr>
              <w:t>of which the</w:t>
            </w:r>
            <w:r w:rsidRPr="009F7AE7">
              <w:rPr>
                <w:rFonts w:ascii="Arial" w:hAnsi="Arial" w:cs="Arial"/>
              </w:rPr>
              <w:t xml:space="preserve"> meaning </w:t>
            </w:r>
            <w:r w:rsidR="003B7933" w:rsidRPr="009F7AE7">
              <w:rPr>
                <w:rFonts w:ascii="Arial" w:hAnsi="Arial" w:cs="Arial"/>
              </w:rPr>
              <w:t xml:space="preserve">is disputed by </w:t>
            </w:r>
            <w:r w:rsidRPr="009F7AE7">
              <w:rPr>
                <w:rFonts w:ascii="Arial" w:hAnsi="Arial" w:cs="Arial"/>
              </w:rPr>
              <w:t xml:space="preserve">the parties. Appealing to roughly contemporaneous dictionaries, the employers say that, as used here, the term “sex” in 1964 referred to “status as either male or female [as] determined by reproductive biology.” The employees counter by submitting that, even in 1964, the term bore a broader scope, capturing more than anatomy and reaching at least some norms concerning gender identity and sexual orientation. But because nothing in our approach to these cases turns on the outcome of the parties’ debate, and because the employees concede the point for argument’s sake, </w:t>
            </w:r>
            <w:r w:rsidRPr="009F7AE7">
              <w:rPr>
                <w:rFonts w:ascii="Arial" w:hAnsi="Arial" w:cs="Arial"/>
                <w:b/>
                <w:bCs/>
              </w:rPr>
              <w:t>we proceed on the assumption that “sex” signified what the employers suggest, referring only to biological distinctions between male and female</w:t>
            </w:r>
            <w:r w:rsidRPr="009F7AE7">
              <w:rPr>
                <w:rFonts w:ascii="Arial" w:hAnsi="Arial" w:cs="Arial"/>
              </w:rPr>
              <w:t xml:space="preserve"> </w:t>
            </w:r>
            <w:r w:rsidR="003B7933" w:rsidRPr="009F7AE7">
              <w:rPr>
                <w:rFonts w:ascii="Arial" w:hAnsi="Arial" w:cs="Arial"/>
              </w:rPr>
              <w:t>(</w:t>
            </w:r>
            <w:r w:rsidRPr="009F7AE7">
              <w:rPr>
                <w:rFonts w:ascii="Arial" w:hAnsi="Arial" w:cs="Arial"/>
              </w:rPr>
              <w:t>1</w:t>
            </w:r>
            <w:r w:rsidR="003B7933" w:rsidRPr="009F7AE7">
              <w:rPr>
                <w:rFonts w:ascii="Arial" w:hAnsi="Arial" w:cs="Arial"/>
              </w:rPr>
              <w:t>).</w:t>
            </w:r>
            <w:r w:rsidRPr="009F7AE7">
              <w:rPr>
                <w:rFonts w:ascii="Arial" w:hAnsi="Arial" w:cs="Arial"/>
              </w:rPr>
              <w:t xml:space="preserve"> Emphasis added.</w:t>
            </w:r>
          </w:p>
          <w:p w14:paraId="35D9D2B1" w14:textId="77777777" w:rsidR="008D30BD" w:rsidRPr="009F7AE7" w:rsidRDefault="008D30BD" w:rsidP="00902934">
            <w:pPr>
              <w:pStyle w:val="NormalWeb"/>
              <w:jc w:val="both"/>
              <w:rPr>
                <w:rFonts w:ascii="Arial" w:hAnsi="Arial" w:cs="Arial"/>
              </w:rPr>
            </w:pPr>
          </w:p>
        </w:tc>
      </w:tr>
    </w:tbl>
    <w:bookmarkEnd w:id="0"/>
    <w:p w14:paraId="25BD45D9" w14:textId="11E81D07" w:rsidR="00C23F05" w:rsidRPr="009F7AE7" w:rsidRDefault="00C23F05" w:rsidP="001C6A03">
      <w:pPr>
        <w:pStyle w:val="NormalWeb"/>
        <w:shd w:val="clear" w:color="auto" w:fill="FFFFFF"/>
        <w:spacing w:before="0" w:beforeAutospacing="0" w:after="0" w:afterAutospacing="0" w:line="276" w:lineRule="auto"/>
        <w:jc w:val="both"/>
        <w:rPr>
          <w:rFonts w:ascii="Arial" w:hAnsi="Arial" w:cs="Arial"/>
        </w:rPr>
      </w:pPr>
      <w:r w:rsidRPr="009F7AE7">
        <w:rPr>
          <w:rFonts w:ascii="Arial" w:hAnsi="Arial" w:cs="Arial"/>
        </w:rPr>
        <w:lastRenderedPageBreak/>
        <w:t xml:space="preserve">The Court then used a “but for” test to conclude that sex discrimination occurred when an employer fired a homosexual or transgender employee hired prior to assuming transgender status. The argument stated that but for the sex of the employee, the employee’s behavior would not be at issue and employment would not have ended. Therefore, unlawful sex discrimination occurred.  </w:t>
      </w:r>
    </w:p>
    <w:p w14:paraId="69744C8F" w14:textId="7256E0EC" w:rsidR="008D30BD" w:rsidRPr="009F7AE7" w:rsidRDefault="008D30BD" w:rsidP="008D30BD">
      <w:pPr>
        <w:pStyle w:val="NormalWeb"/>
        <w:shd w:val="clear" w:color="auto" w:fill="FFFFFF"/>
        <w:spacing w:before="0" w:beforeAutospacing="0" w:after="0" w:afterAutospacing="0"/>
        <w:jc w:val="both"/>
        <w:rPr>
          <w:rFonts w:ascii="Arial" w:hAnsi="Arial" w:cs="Arial"/>
        </w:rPr>
      </w:pPr>
    </w:p>
    <w:tbl>
      <w:tblPr>
        <w:tblStyle w:val="TableGrid"/>
        <w:tblW w:w="0" w:type="auto"/>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30"/>
      </w:tblGrid>
      <w:tr w:rsidR="009F7AE7" w:rsidRPr="009F7AE7" w14:paraId="7877F2DA" w14:textId="77777777" w:rsidTr="001C6A03">
        <w:tc>
          <w:tcPr>
            <w:tcW w:w="7830" w:type="dxa"/>
          </w:tcPr>
          <w:p w14:paraId="25F162CA" w14:textId="709D2BE4" w:rsidR="008D30BD" w:rsidRPr="009F7AE7" w:rsidRDefault="008D30BD" w:rsidP="001C6A03">
            <w:pPr>
              <w:pStyle w:val="NormalWeb"/>
              <w:shd w:val="clear" w:color="auto" w:fill="FFFFFF"/>
              <w:spacing w:before="0" w:beforeAutospacing="0" w:after="0" w:afterAutospacing="0" w:line="276" w:lineRule="auto"/>
              <w:jc w:val="both"/>
              <w:rPr>
                <w:rFonts w:ascii="Arial" w:hAnsi="Arial" w:cs="Arial"/>
              </w:rPr>
            </w:pPr>
            <w:r w:rsidRPr="009F7AE7">
              <w:rPr>
                <w:rFonts w:ascii="Arial" w:hAnsi="Arial" w:cs="Arial"/>
              </w:rPr>
              <w:t>The statute’s message for our cases is equally simple and momentous: An individual’s homosexuality or transgender status is not relevant to employment decisions. That</w:t>
            </w:r>
            <w:r w:rsidR="00D85409" w:rsidRPr="009F7AE7">
              <w:rPr>
                <w:rFonts w:ascii="Arial" w:hAnsi="Arial" w:cs="Arial"/>
              </w:rPr>
              <w:t xml:space="preserve"> i</w:t>
            </w:r>
            <w:r w:rsidRPr="009F7AE7">
              <w:rPr>
                <w:rFonts w:ascii="Arial" w:hAnsi="Arial" w:cs="Arial"/>
              </w:rPr>
              <w:t>s because it is impossible to discriminate against a person for being homosexual or transgender without discriminating against that individual based on sex…</w:t>
            </w:r>
            <w:r w:rsidR="00A9027F" w:rsidRPr="009F7AE7">
              <w:rPr>
                <w:rFonts w:ascii="Arial" w:hAnsi="Arial" w:cs="Arial"/>
              </w:rPr>
              <w:t>.</w:t>
            </w:r>
            <w:r w:rsidRPr="009F7AE7">
              <w:rPr>
                <w:rFonts w:ascii="Arial" w:hAnsi="Arial" w:cs="Arial"/>
              </w:rPr>
              <w:t xml:space="preserve"> Or take an employer who fires a transgender person who was identified as a male at birth but who now identifies as a female. If the employer retains an otherwise identical employee who was identified as female at birth, the employer intentionally penalizes a person identified as male at birth for traits or actions that it tolerates in an employee identified as female at birth. Again, the individual employee’s sex plays an unmistakable and impermissible role in the discharge decision</w:t>
            </w:r>
            <w:r w:rsidR="00A9027F" w:rsidRPr="009F7AE7">
              <w:rPr>
                <w:rFonts w:ascii="Arial" w:hAnsi="Arial" w:cs="Arial"/>
              </w:rPr>
              <w:t xml:space="preserve"> (</w:t>
            </w:r>
            <w:r w:rsidRPr="009F7AE7">
              <w:rPr>
                <w:rFonts w:ascii="Arial" w:hAnsi="Arial" w:cs="Arial"/>
              </w:rPr>
              <w:t>1</w:t>
            </w:r>
            <w:r w:rsidR="00A9027F" w:rsidRPr="009F7AE7">
              <w:rPr>
                <w:rFonts w:ascii="Arial" w:hAnsi="Arial" w:cs="Arial"/>
              </w:rPr>
              <w:t>).</w:t>
            </w:r>
          </w:p>
          <w:p w14:paraId="44C94564" w14:textId="77777777" w:rsidR="008D30BD" w:rsidRPr="009F7AE7" w:rsidRDefault="008D30BD" w:rsidP="008D30BD">
            <w:pPr>
              <w:pStyle w:val="NormalWeb"/>
              <w:spacing w:before="0" w:beforeAutospacing="0" w:after="0" w:afterAutospacing="0"/>
              <w:jc w:val="both"/>
              <w:rPr>
                <w:rFonts w:ascii="Arial" w:hAnsi="Arial" w:cs="Arial"/>
              </w:rPr>
            </w:pPr>
          </w:p>
        </w:tc>
      </w:tr>
    </w:tbl>
    <w:p w14:paraId="0E6433B2" w14:textId="0C8F7CED" w:rsidR="00C23F05" w:rsidRPr="009F7AE7" w:rsidRDefault="00C23F05" w:rsidP="001C6A03">
      <w:pPr>
        <w:shd w:val="clear" w:color="auto" w:fill="FFFFFF"/>
        <w:spacing w:before="100" w:beforeAutospacing="1" w:after="100" w:afterAutospacing="1" w:line="276" w:lineRule="auto"/>
        <w:ind w:left="0" w:firstLine="0"/>
        <w:jc w:val="both"/>
        <w:rPr>
          <w:rFonts w:ascii="Arial" w:eastAsia="Times New Roman" w:hAnsi="Arial" w:cs="Arial"/>
          <w:sz w:val="24"/>
          <w:szCs w:val="24"/>
        </w:rPr>
      </w:pPr>
      <w:r w:rsidRPr="009F7AE7">
        <w:rPr>
          <w:rFonts w:ascii="Arial" w:eastAsia="Times New Roman" w:hAnsi="Arial" w:cs="Arial"/>
          <w:sz w:val="24"/>
          <w:szCs w:val="24"/>
        </w:rPr>
        <w:t xml:space="preserve">A vigorous dissent followed the ruling that did not dispute the definition of sex. It is this most recent Supreme Court case that may help reach consensus legally on the meaning of sex. It may be reinforced by </w:t>
      </w:r>
      <w:r w:rsidRPr="009F7AE7">
        <w:rPr>
          <w:rFonts w:ascii="Arial" w:hAnsi="Arial" w:cs="Arial"/>
          <w:sz w:val="24"/>
          <w:szCs w:val="24"/>
        </w:rPr>
        <w:t xml:space="preserve">2020 legislation introduced to the House of Representatives entitled </w:t>
      </w:r>
      <w:r w:rsidRPr="009F7AE7">
        <w:rPr>
          <w:rFonts w:ascii="Arial" w:eastAsia="Times New Roman" w:hAnsi="Arial" w:cs="Arial"/>
          <w:sz w:val="24"/>
          <w:szCs w:val="24"/>
        </w:rPr>
        <w:t xml:space="preserve">Protection of Women and Girls in Sports Act of 2020 </w:t>
      </w:r>
      <w:r w:rsidR="003B7933" w:rsidRPr="009F7AE7">
        <w:rPr>
          <w:rFonts w:ascii="Arial" w:eastAsia="Times New Roman" w:hAnsi="Arial" w:cs="Arial"/>
          <w:sz w:val="24"/>
          <w:szCs w:val="24"/>
        </w:rPr>
        <w:t>(</w:t>
      </w:r>
      <w:r w:rsidRPr="009F7AE7">
        <w:rPr>
          <w:rFonts w:ascii="Arial" w:eastAsia="Times New Roman" w:hAnsi="Arial" w:cs="Arial"/>
          <w:sz w:val="24"/>
          <w:szCs w:val="24"/>
        </w:rPr>
        <w:t>2</w:t>
      </w:r>
      <w:r w:rsidR="003B7933" w:rsidRPr="009F7AE7">
        <w:rPr>
          <w:rFonts w:ascii="Arial" w:eastAsia="Times New Roman" w:hAnsi="Arial" w:cs="Arial"/>
          <w:sz w:val="24"/>
          <w:szCs w:val="24"/>
        </w:rPr>
        <w:t>)</w:t>
      </w:r>
      <w:r w:rsidRPr="009F7AE7">
        <w:rPr>
          <w:rFonts w:ascii="Arial" w:eastAsia="Times New Roman" w:hAnsi="Arial" w:cs="Arial"/>
          <w:sz w:val="24"/>
          <w:szCs w:val="24"/>
        </w:rPr>
        <w:t xml:space="preserve">. This act </w:t>
      </w:r>
      <w:r w:rsidRPr="009F7AE7">
        <w:rPr>
          <w:rFonts w:ascii="Arial" w:hAnsi="Arial" w:cs="Arial"/>
          <w:sz w:val="24"/>
          <w:szCs w:val="24"/>
        </w:rPr>
        <w:t>defines sex biologically. The language is simple and explicit stating</w:t>
      </w:r>
      <w:r w:rsidR="006016DE" w:rsidRPr="009F7AE7">
        <w:rPr>
          <w:rFonts w:ascii="Arial" w:hAnsi="Arial" w:cs="Arial"/>
          <w:sz w:val="24"/>
          <w:szCs w:val="24"/>
        </w:rPr>
        <w:t>,</w:t>
      </w:r>
      <w:r w:rsidRPr="009F7AE7">
        <w:rPr>
          <w:rFonts w:ascii="Arial" w:eastAsia="Times New Roman" w:hAnsi="Arial" w:cs="Arial"/>
          <w:sz w:val="24"/>
          <w:szCs w:val="24"/>
        </w:rPr>
        <w:t xml:space="preserve"> “To provide that for purposes of determining compliance with </w:t>
      </w:r>
      <w:r w:rsidR="006016DE" w:rsidRPr="009F7AE7">
        <w:rPr>
          <w:rFonts w:ascii="Arial" w:eastAsia="Times New Roman" w:hAnsi="Arial" w:cs="Arial"/>
          <w:sz w:val="24"/>
          <w:szCs w:val="24"/>
        </w:rPr>
        <w:t>T</w:t>
      </w:r>
      <w:r w:rsidRPr="009F7AE7">
        <w:rPr>
          <w:rFonts w:ascii="Arial" w:eastAsia="Times New Roman" w:hAnsi="Arial" w:cs="Arial"/>
          <w:sz w:val="24"/>
          <w:szCs w:val="24"/>
        </w:rPr>
        <w:t xml:space="preserve">itle IX of the Education Amendments of 1972 in athletics, sex shall be determined on the basis of sex assigned at birth by a physician” </w:t>
      </w:r>
      <w:r w:rsidR="006016DE" w:rsidRPr="009F7AE7">
        <w:rPr>
          <w:rFonts w:ascii="Arial" w:eastAsia="Times New Roman" w:hAnsi="Arial" w:cs="Arial"/>
          <w:sz w:val="24"/>
          <w:szCs w:val="24"/>
        </w:rPr>
        <w:t>(</w:t>
      </w:r>
      <w:r w:rsidRPr="009F7AE7">
        <w:rPr>
          <w:rFonts w:ascii="Arial" w:eastAsia="Times New Roman" w:hAnsi="Arial" w:cs="Arial"/>
          <w:sz w:val="24"/>
          <w:szCs w:val="24"/>
        </w:rPr>
        <w:t>2</w:t>
      </w:r>
      <w:r w:rsidR="006016DE" w:rsidRPr="009F7AE7">
        <w:rPr>
          <w:rFonts w:ascii="Arial" w:eastAsia="Times New Roman" w:hAnsi="Arial" w:cs="Arial"/>
          <w:sz w:val="24"/>
          <w:szCs w:val="24"/>
        </w:rPr>
        <w:t>).</w:t>
      </w:r>
    </w:p>
    <w:p w14:paraId="351FEA23" w14:textId="77777777" w:rsidR="00C23F05" w:rsidRPr="009F7AE7" w:rsidRDefault="00C23F05" w:rsidP="00C23F05">
      <w:pPr>
        <w:pStyle w:val="NormalWeb"/>
        <w:shd w:val="clear" w:color="auto" w:fill="FFFFFF"/>
        <w:rPr>
          <w:rFonts w:ascii="Arial" w:hAnsi="Arial" w:cs="Arial"/>
          <w:b/>
          <w:bCs/>
        </w:rPr>
      </w:pPr>
      <w:r w:rsidRPr="009F7AE7">
        <w:rPr>
          <w:rFonts w:ascii="Arial" w:hAnsi="Arial" w:cs="Arial"/>
          <w:b/>
          <w:bCs/>
        </w:rPr>
        <w:t>TESTOSTERONE AND THE NCAA</w:t>
      </w:r>
    </w:p>
    <w:p w14:paraId="24661C94" w14:textId="66CB0F62" w:rsidR="00C23F05" w:rsidRPr="009F7AE7" w:rsidRDefault="00C23F05" w:rsidP="001C6A03">
      <w:pPr>
        <w:pStyle w:val="NormalWeb"/>
        <w:shd w:val="clear" w:color="auto" w:fill="FFFFFF"/>
        <w:spacing w:line="276" w:lineRule="auto"/>
        <w:jc w:val="both"/>
        <w:rPr>
          <w:rFonts w:ascii="Arial" w:hAnsi="Arial" w:cs="Arial"/>
        </w:rPr>
      </w:pPr>
      <w:r w:rsidRPr="009F7AE7">
        <w:rPr>
          <w:rFonts w:ascii="Arial" w:hAnsi="Arial" w:cs="Arial"/>
        </w:rPr>
        <w:t xml:space="preserve">In 2011, the NCAA published best practice and policy recommendations to provide </w:t>
      </w:r>
      <w:r w:rsidR="006016DE" w:rsidRPr="009F7AE7">
        <w:rPr>
          <w:rFonts w:ascii="Arial" w:hAnsi="Arial" w:cs="Arial"/>
        </w:rPr>
        <w:t xml:space="preserve">for </w:t>
      </w:r>
      <w:r w:rsidRPr="009F7AE7">
        <w:rPr>
          <w:rFonts w:ascii="Arial" w:hAnsi="Arial" w:cs="Arial"/>
        </w:rPr>
        <w:t xml:space="preserve">fair and equal opportunities for the participation of transgender athletes in intercollegiate athletics </w:t>
      </w:r>
      <w:r w:rsidR="006016DE" w:rsidRPr="009F7AE7">
        <w:rPr>
          <w:rFonts w:ascii="Arial" w:hAnsi="Arial" w:cs="Arial"/>
        </w:rPr>
        <w:t>(</w:t>
      </w:r>
      <w:r w:rsidRPr="009F7AE7">
        <w:rPr>
          <w:rFonts w:ascii="Arial" w:hAnsi="Arial" w:cs="Arial"/>
        </w:rPr>
        <w:t>13</w:t>
      </w:r>
      <w:r w:rsidR="006016DE" w:rsidRPr="009F7AE7">
        <w:rPr>
          <w:rFonts w:ascii="Arial" w:hAnsi="Arial" w:cs="Arial"/>
        </w:rPr>
        <w:t>)</w:t>
      </w:r>
      <w:r w:rsidRPr="009F7AE7">
        <w:rPr>
          <w:rFonts w:ascii="Arial" w:hAnsi="Arial" w:cs="Arial"/>
        </w:rPr>
        <w:t xml:space="preserve">. In their policy, plasma level of testosterone is the central issue that determines eligibility and inclusion for sport. </w:t>
      </w:r>
      <w:proofErr w:type="spellStart"/>
      <w:r w:rsidRPr="009F7AE7">
        <w:rPr>
          <w:rFonts w:ascii="Arial" w:hAnsi="Arial" w:cs="Arial"/>
        </w:rPr>
        <w:t>Transfemales</w:t>
      </w:r>
      <w:proofErr w:type="spellEnd"/>
      <w:r w:rsidRPr="009F7AE7">
        <w:rPr>
          <w:rFonts w:ascii="Arial" w:hAnsi="Arial" w:cs="Arial"/>
        </w:rPr>
        <w:t xml:space="preserve"> are required to complete one year of testosterone suppression in order to compete on a women’s team. </w:t>
      </w:r>
      <w:proofErr w:type="spellStart"/>
      <w:r w:rsidRPr="009F7AE7">
        <w:rPr>
          <w:rFonts w:ascii="Arial" w:hAnsi="Arial" w:cs="Arial"/>
        </w:rPr>
        <w:t>Transmales</w:t>
      </w:r>
      <w:proofErr w:type="spellEnd"/>
      <w:r w:rsidRPr="009F7AE7">
        <w:rPr>
          <w:rFonts w:ascii="Arial" w:hAnsi="Arial" w:cs="Arial"/>
        </w:rPr>
        <w:t xml:space="preserve"> have no requirement for hormonal interventions of any kind whatsoever. This says it all regarding the preservation of fairness. </w:t>
      </w:r>
      <w:proofErr w:type="spellStart"/>
      <w:r w:rsidRPr="009F7AE7">
        <w:rPr>
          <w:rFonts w:ascii="Arial" w:hAnsi="Arial" w:cs="Arial"/>
        </w:rPr>
        <w:t>Transfemales</w:t>
      </w:r>
      <w:proofErr w:type="spellEnd"/>
      <w:r w:rsidRPr="009F7AE7">
        <w:rPr>
          <w:rFonts w:ascii="Arial" w:hAnsi="Arial" w:cs="Arial"/>
        </w:rPr>
        <w:t xml:space="preserve"> may have significant physical advantage </w:t>
      </w:r>
      <w:r w:rsidR="006016DE" w:rsidRPr="009F7AE7">
        <w:rPr>
          <w:rFonts w:ascii="Arial" w:hAnsi="Arial" w:cs="Arial"/>
        </w:rPr>
        <w:t>due to</w:t>
      </w:r>
      <w:r w:rsidRPr="009F7AE7">
        <w:rPr>
          <w:rFonts w:ascii="Arial" w:hAnsi="Arial" w:cs="Arial"/>
        </w:rPr>
        <w:t xml:space="preserve"> years of developed muscle mass, bone density, and stature being influenced by testosterone. These physical attributes are not reversed as a consequence of testosterone suppression </w:t>
      </w:r>
      <w:r w:rsidRPr="009F7AE7">
        <w:rPr>
          <w:rFonts w:ascii="Arial" w:hAnsi="Arial" w:cs="Arial"/>
        </w:rPr>
        <w:lastRenderedPageBreak/>
        <w:t xml:space="preserve">leaving </w:t>
      </w:r>
      <w:proofErr w:type="spellStart"/>
      <w:r w:rsidRPr="009F7AE7">
        <w:rPr>
          <w:rFonts w:ascii="Arial" w:hAnsi="Arial" w:cs="Arial"/>
        </w:rPr>
        <w:t>transfemale</w:t>
      </w:r>
      <w:proofErr w:type="spellEnd"/>
      <w:r w:rsidRPr="009F7AE7">
        <w:rPr>
          <w:rFonts w:ascii="Arial" w:hAnsi="Arial" w:cs="Arial"/>
        </w:rPr>
        <w:t xml:space="preserve"> athletes with a distinct physical advantage over cisgender females.  </w:t>
      </w:r>
    </w:p>
    <w:p w14:paraId="7C6327C3" w14:textId="0661C27A" w:rsidR="00C23F05" w:rsidRPr="009F7AE7" w:rsidRDefault="00C23F05" w:rsidP="001C6A03">
      <w:pPr>
        <w:pStyle w:val="css-axufdj"/>
        <w:spacing w:line="276" w:lineRule="auto"/>
        <w:jc w:val="both"/>
        <w:rPr>
          <w:rFonts w:ascii="Arial" w:hAnsi="Arial" w:cs="Arial"/>
        </w:rPr>
      </w:pPr>
      <w:r w:rsidRPr="009F7AE7">
        <w:rPr>
          <w:rFonts w:ascii="Arial" w:hAnsi="Arial" w:cs="Arial"/>
        </w:rPr>
        <w:t xml:space="preserve">There is not </w:t>
      </w:r>
      <w:r w:rsidR="006016DE" w:rsidRPr="009F7AE7">
        <w:rPr>
          <w:rFonts w:ascii="Arial" w:hAnsi="Arial" w:cs="Arial"/>
        </w:rPr>
        <w:t xml:space="preserve">a </w:t>
      </w:r>
      <w:r w:rsidRPr="009F7AE7">
        <w:rPr>
          <w:rFonts w:ascii="Arial" w:hAnsi="Arial" w:cs="Arial"/>
        </w:rPr>
        <w:t xml:space="preserve">complete consensus on this conclusion. </w:t>
      </w:r>
      <w:r w:rsidRPr="009F7AE7">
        <w:rPr>
          <w:rStyle w:val="css-1baulvz"/>
          <w:rFonts w:ascii="Arial" w:hAnsi="Arial" w:cs="Arial"/>
        </w:rPr>
        <w:t xml:space="preserve">Geneticist Dr. Eric </w:t>
      </w:r>
      <w:proofErr w:type="spellStart"/>
      <w:r w:rsidRPr="009F7AE7">
        <w:rPr>
          <w:rStyle w:val="css-1baulvz"/>
          <w:rFonts w:ascii="Arial" w:hAnsi="Arial" w:cs="Arial"/>
        </w:rPr>
        <w:t>Vilain</w:t>
      </w:r>
      <w:proofErr w:type="spellEnd"/>
      <w:r w:rsidRPr="009F7AE7">
        <w:rPr>
          <w:rStyle w:val="css-1baulvz"/>
          <w:rFonts w:ascii="Arial" w:hAnsi="Arial" w:cs="Arial"/>
        </w:rPr>
        <w:t xml:space="preserve"> who has collaborated with the NCAA and the International Olympic Committee on transgender participation stated that all top athletes possess some edge over their peers </w:t>
      </w:r>
      <w:r w:rsidR="0055623B" w:rsidRPr="009F7AE7">
        <w:rPr>
          <w:rStyle w:val="css-1baulvz"/>
          <w:rFonts w:ascii="Arial" w:hAnsi="Arial" w:cs="Arial"/>
        </w:rPr>
        <w:t>(</w:t>
      </w:r>
      <w:r w:rsidRPr="009F7AE7">
        <w:rPr>
          <w:rStyle w:val="css-1baulvz"/>
          <w:rFonts w:ascii="Arial" w:hAnsi="Arial" w:cs="Arial"/>
        </w:rPr>
        <w:t>14</w:t>
      </w:r>
      <w:r w:rsidR="0055623B" w:rsidRPr="009F7AE7">
        <w:rPr>
          <w:rStyle w:val="css-1baulvz"/>
          <w:rFonts w:ascii="Arial" w:hAnsi="Arial" w:cs="Arial"/>
        </w:rPr>
        <w:t>)</w:t>
      </w:r>
      <w:r w:rsidRPr="009F7AE7">
        <w:rPr>
          <w:rStyle w:val="css-1baulvz"/>
          <w:rFonts w:ascii="Arial" w:hAnsi="Arial" w:cs="Arial"/>
        </w:rPr>
        <w:t>. He compared questioning a transgender woman’s competitive advantage to questioning whether or not dominant athletes like Usain Bolt’s natural abilities are fair</w:t>
      </w:r>
      <w:r w:rsidRPr="009F7AE7">
        <w:rPr>
          <w:rFonts w:ascii="Arial" w:hAnsi="Arial" w:cs="Arial"/>
        </w:rPr>
        <w:t xml:space="preserve">, because all top athletes possess some edge over their peers </w:t>
      </w:r>
      <w:r w:rsidR="0055623B" w:rsidRPr="009F7AE7">
        <w:rPr>
          <w:rFonts w:ascii="Arial" w:hAnsi="Arial" w:cs="Arial"/>
        </w:rPr>
        <w:t>(</w:t>
      </w:r>
      <w:r w:rsidRPr="009F7AE7">
        <w:rPr>
          <w:rFonts w:ascii="Arial" w:hAnsi="Arial" w:cs="Arial"/>
        </w:rPr>
        <w:t>15</w:t>
      </w:r>
      <w:r w:rsidR="0055623B" w:rsidRPr="009F7AE7">
        <w:rPr>
          <w:rFonts w:ascii="Arial" w:hAnsi="Arial" w:cs="Arial"/>
        </w:rPr>
        <w:t>)</w:t>
      </w:r>
      <w:r w:rsidRPr="009F7AE7">
        <w:rPr>
          <w:rFonts w:ascii="Arial" w:hAnsi="Arial" w:cs="Arial"/>
        </w:rPr>
        <w:t xml:space="preserve">. “It’s like saying Usain Bolt’s abilities are unfair because he wins by so much each time,” </w:t>
      </w:r>
      <w:proofErr w:type="spellStart"/>
      <w:r w:rsidRPr="009F7AE7">
        <w:rPr>
          <w:rFonts w:ascii="Arial" w:hAnsi="Arial" w:cs="Arial"/>
        </w:rPr>
        <w:t>Vilain</w:t>
      </w:r>
      <w:proofErr w:type="spellEnd"/>
      <w:r w:rsidRPr="009F7AE7">
        <w:rPr>
          <w:rFonts w:ascii="Arial" w:hAnsi="Arial" w:cs="Arial"/>
        </w:rPr>
        <w:t xml:space="preserve"> said </w:t>
      </w:r>
      <w:r w:rsidR="0055623B" w:rsidRPr="009F7AE7">
        <w:rPr>
          <w:rFonts w:ascii="Arial" w:hAnsi="Arial" w:cs="Arial"/>
        </w:rPr>
        <w:t>(</w:t>
      </w:r>
      <w:r w:rsidRPr="009F7AE7">
        <w:rPr>
          <w:rFonts w:ascii="Arial" w:hAnsi="Arial" w:cs="Arial"/>
        </w:rPr>
        <w:t>14</w:t>
      </w:r>
      <w:r w:rsidR="0055623B" w:rsidRPr="009F7AE7">
        <w:rPr>
          <w:rFonts w:ascii="Arial" w:hAnsi="Arial" w:cs="Arial"/>
        </w:rPr>
        <w:t>)</w:t>
      </w:r>
      <w:r w:rsidRPr="009F7AE7">
        <w:rPr>
          <w:rFonts w:ascii="Arial" w:hAnsi="Arial" w:cs="Arial"/>
        </w:rPr>
        <w:t xml:space="preserve">. </w:t>
      </w:r>
      <w:proofErr w:type="spellStart"/>
      <w:r w:rsidRPr="009F7AE7">
        <w:rPr>
          <w:rFonts w:ascii="Arial" w:hAnsi="Arial" w:cs="Arial"/>
        </w:rPr>
        <w:t>Vilain</w:t>
      </w:r>
      <w:proofErr w:type="spellEnd"/>
      <w:r w:rsidRPr="009F7AE7">
        <w:rPr>
          <w:rFonts w:ascii="Arial" w:hAnsi="Arial" w:cs="Arial"/>
        </w:rPr>
        <w:t xml:space="preserve"> </w:t>
      </w:r>
      <w:r w:rsidR="00D85409" w:rsidRPr="009F7AE7">
        <w:rPr>
          <w:rFonts w:ascii="Arial" w:hAnsi="Arial" w:cs="Arial"/>
        </w:rPr>
        <w:t xml:space="preserve">also </w:t>
      </w:r>
      <w:r w:rsidRPr="009F7AE7">
        <w:rPr>
          <w:rFonts w:ascii="Arial" w:hAnsi="Arial" w:cs="Arial"/>
        </w:rPr>
        <w:t xml:space="preserve">goes on to say sports leaders setting eligibility standards are confronted with “two almost irreconcilable positions”, one relying on the athlete’s declared gender and the other on biology </w:t>
      </w:r>
      <w:r w:rsidR="0055623B" w:rsidRPr="009F7AE7">
        <w:rPr>
          <w:rFonts w:ascii="Arial" w:hAnsi="Arial" w:cs="Arial"/>
        </w:rPr>
        <w:t>(</w:t>
      </w:r>
      <w:r w:rsidRPr="009F7AE7">
        <w:rPr>
          <w:rFonts w:ascii="Arial" w:hAnsi="Arial" w:cs="Arial"/>
        </w:rPr>
        <w:t>14</w:t>
      </w:r>
      <w:r w:rsidR="0055623B" w:rsidRPr="009F7AE7">
        <w:rPr>
          <w:rFonts w:ascii="Arial" w:hAnsi="Arial" w:cs="Arial"/>
        </w:rPr>
        <w:t>)</w:t>
      </w:r>
      <w:r w:rsidRPr="009F7AE7">
        <w:rPr>
          <w:rFonts w:ascii="Arial" w:hAnsi="Arial" w:cs="Arial"/>
        </w:rPr>
        <w:t>.</w:t>
      </w:r>
    </w:p>
    <w:p w14:paraId="02F9676B" w14:textId="2F11572D" w:rsidR="00C23F05" w:rsidRPr="009F7AE7" w:rsidRDefault="00C23F05" w:rsidP="001C6A03">
      <w:pPr>
        <w:pStyle w:val="NormalWeb"/>
        <w:shd w:val="clear" w:color="auto" w:fill="FFFFFF"/>
        <w:spacing w:line="276" w:lineRule="auto"/>
        <w:jc w:val="both"/>
        <w:rPr>
          <w:rFonts w:ascii="Arial" w:hAnsi="Arial" w:cs="Arial"/>
        </w:rPr>
      </w:pPr>
      <w:r w:rsidRPr="009F7AE7">
        <w:rPr>
          <w:rFonts w:ascii="Arial" w:hAnsi="Arial" w:cs="Arial"/>
        </w:rPr>
        <w:t xml:space="preserve">Testosterone significantly impacts physical differences between males and females. </w:t>
      </w:r>
      <w:r w:rsidR="00D818ED" w:rsidRPr="009F7AE7">
        <w:rPr>
          <w:rFonts w:ascii="Arial" w:hAnsi="Arial" w:cs="Arial"/>
        </w:rPr>
        <w:t>O</w:t>
      </w:r>
      <w:r w:rsidRPr="009F7AE7">
        <w:rPr>
          <w:rFonts w:ascii="Arial" w:hAnsi="Arial" w:cs="Arial"/>
        </w:rPr>
        <w:t xml:space="preserve">n average, </w:t>
      </w:r>
      <w:r w:rsidR="00D818ED" w:rsidRPr="009F7AE7">
        <w:rPr>
          <w:rFonts w:ascii="Arial" w:hAnsi="Arial" w:cs="Arial"/>
        </w:rPr>
        <w:t xml:space="preserve">males </w:t>
      </w:r>
      <w:r w:rsidRPr="009F7AE7">
        <w:rPr>
          <w:rFonts w:ascii="Arial" w:hAnsi="Arial" w:cs="Arial"/>
          <w:shd w:val="clear" w:color="auto" w:fill="FFFFFF"/>
        </w:rPr>
        <w:t xml:space="preserve">produce 30 times more testosterone than </w:t>
      </w:r>
      <w:r w:rsidR="000C5627" w:rsidRPr="009F7AE7">
        <w:rPr>
          <w:rFonts w:ascii="Arial" w:hAnsi="Arial" w:cs="Arial"/>
          <w:shd w:val="clear" w:color="auto" w:fill="FFFFFF"/>
        </w:rPr>
        <w:t xml:space="preserve">they did </w:t>
      </w:r>
      <w:r w:rsidRPr="009F7AE7">
        <w:rPr>
          <w:rFonts w:ascii="Arial" w:hAnsi="Arial" w:cs="Arial"/>
          <w:shd w:val="clear" w:color="auto" w:fill="FFFFFF"/>
        </w:rPr>
        <w:t xml:space="preserve">before puberty </w:t>
      </w:r>
      <w:r w:rsidR="000C5627" w:rsidRPr="009F7AE7">
        <w:rPr>
          <w:rFonts w:ascii="Arial" w:hAnsi="Arial" w:cs="Arial"/>
          <w:shd w:val="clear" w:color="auto" w:fill="FFFFFF"/>
        </w:rPr>
        <w:t>(</w:t>
      </w:r>
      <w:r w:rsidRPr="009F7AE7">
        <w:rPr>
          <w:rFonts w:ascii="Arial" w:hAnsi="Arial" w:cs="Arial"/>
          <w:shd w:val="clear" w:color="auto" w:fill="FFFFFF"/>
        </w:rPr>
        <w:t>16</w:t>
      </w:r>
      <w:r w:rsidR="000C5627" w:rsidRPr="009F7AE7">
        <w:rPr>
          <w:rFonts w:ascii="Arial" w:hAnsi="Arial" w:cs="Arial"/>
          <w:shd w:val="clear" w:color="auto" w:fill="FFFFFF"/>
        </w:rPr>
        <w:t>)</w:t>
      </w:r>
      <w:r w:rsidRPr="009F7AE7">
        <w:rPr>
          <w:rFonts w:ascii="Arial" w:hAnsi="Arial" w:cs="Arial"/>
          <w:shd w:val="clear" w:color="auto" w:fill="FFFFFF"/>
        </w:rPr>
        <w:t xml:space="preserve"> resulting in circulating testosterone levels 20</w:t>
      </w:r>
      <w:r w:rsidR="000C5627" w:rsidRPr="009F7AE7">
        <w:rPr>
          <w:rFonts w:ascii="Arial" w:hAnsi="Arial" w:cs="Arial"/>
          <w:shd w:val="clear" w:color="auto" w:fill="FFFFFF"/>
        </w:rPr>
        <w:t xml:space="preserve"> to </w:t>
      </w:r>
      <w:r w:rsidRPr="009F7AE7">
        <w:rPr>
          <w:rFonts w:ascii="Arial" w:hAnsi="Arial" w:cs="Arial"/>
          <w:shd w:val="clear" w:color="auto" w:fill="FFFFFF"/>
        </w:rPr>
        <w:t xml:space="preserve">30 </w:t>
      </w:r>
      <w:r w:rsidR="000C5627" w:rsidRPr="009F7AE7">
        <w:rPr>
          <w:rFonts w:ascii="Arial" w:hAnsi="Arial" w:cs="Arial"/>
          <w:shd w:val="clear" w:color="auto" w:fill="FFFFFF"/>
        </w:rPr>
        <w:t xml:space="preserve">times </w:t>
      </w:r>
      <w:r w:rsidRPr="009F7AE7">
        <w:rPr>
          <w:rFonts w:ascii="Arial" w:hAnsi="Arial" w:cs="Arial"/>
          <w:shd w:val="clear" w:color="auto" w:fill="FFFFFF"/>
        </w:rPr>
        <w:t xml:space="preserve">greater than women </w:t>
      </w:r>
      <w:r w:rsidR="000C5627" w:rsidRPr="009F7AE7">
        <w:rPr>
          <w:rFonts w:ascii="Arial" w:hAnsi="Arial" w:cs="Arial"/>
          <w:shd w:val="clear" w:color="auto" w:fill="FFFFFF"/>
        </w:rPr>
        <w:t>(</w:t>
      </w:r>
      <w:r w:rsidRPr="009F7AE7">
        <w:rPr>
          <w:rFonts w:ascii="Arial" w:hAnsi="Arial" w:cs="Arial"/>
          <w:shd w:val="clear" w:color="auto" w:fill="FFFFFF"/>
        </w:rPr>
        <w:t>17</w:t>
      </w:r>
      <w:r w:rsidR="000C5627" w:rsidRPr="009F7AE7">
        <w:rPr>
          <w:rFonts w:ascii="Arial" w:hAnsi="Arial" w:cs="Arial"/>
          <w:shd w:val="clear" w:color="auto" w:fill="FFFFFF"/>
        </w:rPr>
        <w:t>)</w:t>
      </w:r>
      <w:r w:rsidRPr="009F7AE7">
        <w:rPr>
          <w:rFonts w:ascii="Arial" w:hAnsi="Arial" w:cs="Arial"/>
        </w:rPr>
        <w:t>. Protein synthesis, its most notable impact, is an anabolic property that results in greater muscle mass and</w:t>
      </w:r>
      <w:r w:rsidR="000C5627" w:rsidRPr="009F7AE7">
        <w:rPr>
          <w:rFonts w:ascii="Arial" w:hAnsi="Arial" w:cs="Arial"/>
        </w:rPr>
        <w:t>,</w:t>
      </w:r>
      <w:r w:rsidRPr="009F7AE7">
        <w:rPr>
          <w:rFonts w:ascii="Arial" w:hAnsi="Arial" w:cs="Arial"/>
        </w:rPr>
        <w:t xml:space="preserve"> therefore</w:t>
      </w:r>
      <w:r w:rsidR="000C5627" w:rsidRPr="009F7AE7">
        <w:rPr>
          <w:rFonts w:ascii="Arial" w:hAnsi="Arial" w:cs="Arial"/>
        </w:rPr>
        <w:t>,</w:t>
      </w:r>
      <w:r w:rsidRPr="009F7AE7">
        <w:rPr>
          <w:rFonts w:ascii="Arial" w:hAnsi="Arial" w:cs="Arial"/>
        </w:rPr>
        <w:t xml:space="preserve"> </w:t>
      </w:r>
      <w:r w:rsidR="000C5627" w:rsidRPr="009F7AE7">
        <w:rPr>
          <w:rFonts w:ascii="Arial" w:hAnsi="Arial" w:cs="Arial"/>
        </w:rPr>
        <w:t xml:space="preserve">greater </w:t>
      </w:r>
      <w:r w:rsidRPr="009F7AE7">
        <w:rPr>
          <w:rFonts w:ascii="Arial" w:hAnsi="Arial" w:cs="Arial"/>
        </w:rPr>
        <w:t xml:space="preserve">strength for males </w:t>
      </w:r>
      <w:r w:rsidR="000C5627" w:rsidRPr="009F7AE7">
        <w:rPr>
          <w:rFonts w:ascii="Arial" w:hAnsi="Arial" w:cs="Arial"/>
        </w:rPr>
        <w:t>(</w:t>
      </w:r>
      <w:r w:rsidRPr="009F7AE7">
        <w:rPr>
          <w:rFonts w:ascii="Arial" w:hAnsi="Arial" w:cs="Arial"/>
        </w:rPr>
        <w:t>17</w:t>
      </w:r>
      <w:r w:rsidR="000C5627" w:rsidRPr="009F7AE7">
        <w:rPr>
          <w:rFonts w:ascii="Arial" w:hAnsi="Arial" w:cs="Arial"/>
        </w:rPr>
        <w:t>)</w:t>
      </w:r>
      <w:r w:rsidRPr="009F7AE7">
        <w:rPr>
          <w:rFonts w:ascii="Arial" w:hAnsi="Arial" w:cs="Arial"/>
        </w:rPr>
        <w:t xml:space="preserve">. The impact of testosterone begins during fetal development and continues throughout life. </w:t>
      </w:r>
      <w:r w:rsidR="000C5627" w:rsidRPr="009F7AE7">
        <w:rPr>
          <w:rFonts w:ascii="Arial" w:hAnsi="Arial" w:cs="Arial"/>
        </w:rPr>
        <w:t>I</w:t>
      </w:r>
      <w:r w:rsidRPr="009F7AE7">
        <w:rPr>
          <w:rFonts w:ascii="Arial" w:hAnsi="Arial" w:cs="Arial"/>
        </w:rPr>
        <w:t>n the prepubescent male</w:t>
      </w:r>
      <w:r w:rsidR="000C5627" w:rsidRPr="009F7AE7">
        <w:rPr>
          <w:rFonts w:ascii="Arial" w:hAnsi="Arial" w:cs="Arial"/>
        </w:rPr>
        <w:t>,</w:t>
      </w:r>
      <w:r w:rsidRPr="009F7AE7">
        <w:rPr>
          <w:rFonts w:ascii="Arial" w:hAnsi="Arial" w:cs="Arial"/>
        </w:rPr>
        <w:t xml:space="preserve"> </w:t>
      </w:r>
      <w:r w:rsidR="000C5627" w:rsidRPr="009F7AE7">
        <w:rPr>
          <w:rFonts w:ascii="Arial" w:hAnsi="Arial" w:cs="Arial"/>
        </w:rPr>
        <w:t xml:space="preserve">testosterone </w:t>
      </w:r>
      <w:r w:rsidRPr="009F7AE7">
        <w:rPr>
          <w:rFonts w:ascii="Arial" w:hAnsi="Arial" w:cs="Arial"/>
        </w:rPr>
        <w:t xml:space="preserve">also impacts other physical qualities during growth such as increased length of bones and bone density </w:t>
      </w:r>
      <w:r w:rsidR="000C5627" w:rsidRPr="009F7AE7">
        <w:rPr>
          <w:rFonts w:ascii="Arial" w:hAnsi="Arial" w:cs="Arial"/>
        </w:rPr>
        <w:t>(</w:t>
      </w:r>
      <w:r w:rsidRPr="009F7AE7">
        <w:rPr>
          <w:rFonts w:ascii="Arial" w:hAnsi="Arial" w:cs="Arial"/>
        </w:rPr>
        <w:t>18</w:t>
      </w:r>
      <w:r w:rsidR="000C5627" w:rsidRPr="009F7AE7">
        <w:rPr>
          <w:rFonts w:ascii="Arial" w:hAnsi="Arial" w:cs="Arial"/>
        </w:rPr>
        <w:t>)</w:t>
      </w:r>
      <w:r w:rsidRPr="009F7AE7">
        <w:rPr>
          <w:rFonts w:ascii="Arial" w:hAnsi="Arial" w:cs="Arial"/>
        </w:rPr>
        <w:t xml:space="preserve">. If it is true that the prize goes to the strongest, then biological males and </w:t>
      </w:r>
      <w:proofErr w:type="spellStart"/>
      <w:r w:rsidRPr="009F7AE7">
        <w:rPr>
          <w:rFonts w:ascii="Arial" w:hAnsi="Arial" w:cs="Arial"/>
        </w:rPr>
        <w:t>transfemales</w:t>
      </w:r>
      <w:proofErr w:type="spellEnd"/>
      <w:r w:rsidRPr="009F7AE7">
        <w:rPr>
          <w:rFonts w:ascii="Arial" w:hAnsi="Arial" w:cs="Arial"/>
        </w:rPr>
        <w:t xml:space="preserve"> have a clear advantage in physical competition against cisgender females.</w:t>
      </w:r>
    </w:p>
    <w:p w14:paraId="350125D9" w14:textId="1F6D795D" w:rsidR="00C23F05" w:rsidRPr="009F7AE7" w:rsidRDefault="00C23F05" w:rsidP="00C23F05">
      <w:pPr>
        <w:shd w:val="clear" w:color="auto" w:fill="FFFFFF"/>
        <w:spacing w:before="100" w:beforeAutospacing="1" w:after="100" w:afterAutospacing="1"/>
        <w:ind w:left="360"/>
        <w:rPr>
          <w:rFonts w:ascii="Arial" w:eastAsia="Times New Roman" w:hAnsi="Arial" w:cs="Arial"/>
          <w:b/>
          <w:bCs/>
          <w:sz w:val="24"/>
          <w:szCs w:val="24"/>
        </w:rPr>
      </w:pPr>
      <w:r w:rsidRPr="009F7AE7">
        <w:rPr>
          <w:rFonts w:ascii="Arial" w:eastAsia="Times New Roman" w:hAnsi="Arial" w:cs="Arial"/>
          <w:b/>
          <w:bCs/>
          <w:sz w:val="24"/>
          <w:szCs w:val="24"/>
        </w:rPr>
        <w:t>THE RISK TO CIS GENDER FEMALES</w:t>
      </w:r>
    </w:p>
    <w:p w14:paraId="0815D599" w14:textId="63325D73" w:rsidR="00C23F05" w:rsidRPr="009F7AE7" w:rsidRDefault="00C23F05" w:rsidP="001C6A03">
      <w:pPr>
        <w:shd w:val="clear" w:color="auto" w:fill="FFFFFF"/>
        <w:spacing w:before="100" w:beforeAutospacing="1" w:after="100" w:afterAutospacing="1" w:line="276" w:lineRule="auto"/>
        <w:ind w:left="0" w:firstLine="0"/>
        <w:jc w:val="both"/>
        <w:rPr>
          <w:rFonts w:ascii="Arial" w:eastAsia="Times New Roman" w:hAnsi="Arial" w:cs="Arial"/>
          <w:bCs/>
          <w:kern w:val="36"/>
          <w:sz w:val="24"/>
          <w:szCs w:val="24"/>
        </w:rPr>
      </w:pPr>
      <w:r w:rsidRPr="009F7AE7">
        <w:rPr>
          <w:rFonts w:ascii="Arial" w:eastAsia="Times New Roman" w:hAnsi="Arial" w:cs="Arial"/>
          <w:sz w:val="24"/>
          <w:szCs w:val="24"/>
        </w:rPr>
        <w:t xml:space="preserve">Recent history clearly demonstrates the risk to cisgender females when </w:t>
      </w:r>
      <w:proofErr w:type="spellStart"/>
      <w:r w:rsidRPr="009F7AE7">
        <w:rPr>
          <w:rFonts w:ascii="Arial" w:eastAsia="Times New Roman" w:hAnsi="Arial" w:cs="Arial"/>
          <w:sz w:val="24"/>
          <w:szCs w:val="24"/>
        </w:rPr>
        <w:t>transfemales</w:t>
      </w:r>
      <w:proofErr w:type="spellEnd"/>
      <w:r w:rsidRPr="009F7AE7">
        <w:rPr>
          <w:rFonts w:ascii="Arial" w:eastAsia="Times New Roman" w:hAnsi="Arial" w:cs="Arial"/>
          <w:sz w:val="24"/>
          <w:szCs w:val="24"/>
        </w:rPr>
        <w:t xml:space="preserve"> compete in girls’ and women’s sports. There appears to be no parallel risk to cisgender males. This is likely because physically based sex differences often favor males in sport. The argument is whether these physical differences represent a tolerable or intolerable unfairness. For the purpose of this article, the risk of an intolerable unfairness exists in sports for cisgender females. For example, the mixed martial arts (MMA) fighter and transwoman Fallon Fox defeated </w:t>
      </w:r>
      <w:proofErr w:type="spellStart"/>
      <w:r w:rsidRPr="009F7AE7">
        <w:rPr>
          <w:rFonts w:ascii="Arial" w:eastAsia="Times New Roman" w:hAnsi="Arial" w:cs="Arial"/>
          <w:sz w:val="24"/>
          <w:szCs w:val="24"/>
        </w:rPr>
        <w:t>Tamikka</w:t>
      </w:r>
      <w:proofErr w:type="spellEnd"/>
      <w:r w:rsidRPr="009F7AE7">
        <w:rPr>
          <w:rFonts w:ascii="Arial" w:eastAsia="Times New Roman" w:hAnsi="Arial" w:cs="Arial"/>
          <w:sz w:val="24"/>
          <w:szCs w:val="24"/>
        </w:rPr>
        <w:t xml:space="preserve"> Brents in a short but brutal match that left the loser with a skull fracture, concussion</w:t>
      </w:r>
      <w:r w:rsidR="009552A3" w:rsidRPr="009F7AE7">
        <w:rPr>
          <w:rFonts w:ascii="Arial" w:eastAsia="Times New Roman" w:hAnsi="Arial" w:cs="Arial"/>
          <w:sz w:val="24"/>
          <w:szCs w:val="24"/>
        </w:rPr>
        <w:t>,</w:t>
      </w:r>
      <w:r w:rsidRPr="009F7AE7">
        <w:rPr>
          <w:rFonts w:ascii="Arial" w:eastAsia="Times New Roman" w:hAnsi="Arial" w:cs="Arial"/>
          <w:sz w:val="24"/>
          <w:szCs w:val="24"/>
        </w:rPr>
        <w:t xml:space="preserve"> and seven staples </w:t>
      </w:r>
      <w:r w:rsidR="00155320" w:rsidRPr="009F7AE7">
        <w:rPr>
          <w:rFonts w:ascii="Arial" w:eastAsia="Times New Roman" w:hAnsi="Arial" w:cs="Arial"/>
          <w:sz w:val="24"/>
          <w:szCs w:val="24"/>
        </w:rPr>
        <w:t>to</w:t>
      </w:r>
      <w:r w:rsidRPr="009F7AE7">
        <w:rPr>
          <w:rFonts w:ascii="Arial" w:eastAsia="Times New Roman" w:hAnsi="Arial" w:cs="Arial"/>
          <w:sz w:val="24"/>
          <w:szCs w:val="24"/>
        </w:rPr>
        <w:t xml:space="preserve"> her head </w:t>
      </w:r>
      <w:r w:rsidR="00155320" w:rsidRPr="009F7AE7">
        <w:rPr>
          <w:rFonts w:ascii="Arial" w:eastAsia="Times New Roman" w:hAnsi="Arial" w:cs="Arial"/>
          <w:sz w:val="24"/>
          <w:szCs w:val="24"/>
        </w:rPr>
        <w:t>(</w:t>
      </w:r>
      <w:r w:rsidRPr="009F7AE7">
        <w:rPr>
          <w:rFonts w:ascii="Arial" w:eastAsia="Times New Roman" w:hAnsi="Arial" w:cs="Arial"/>
          <w:sz w:val="24"/>
          <w:szCs w:val="24"/>
        </w:rPr>
        <w:t>18</w:t>
      </w:r>
      <w:r w:rsidR="00155320" w:rsidRPr="009F7AE7">
        <w:rPr>
          <w:rFonts w:ascii="Arial" w:eastAsia="Times New Roman" w:hAnsi="Arial" w:cs="Arial"/>
          <w:sz w:val="24"/>
          <w:szCs w:val="24"/>
        </w:rPr>
        <w:t>)</w:t>
      </w:r>
      <w:r w:rsidRPr="009F7AE7">
        <w:rPr>
          <w:rFonts w:ascii="Arial" w:eastAsia="Times New Roman" w:hAnsi="Arial" w:cs="Arial"/>
          <w:sz w:val="24"/>
          <w:szCs w:val="24"/>
        </w:rPr>
        <w:t xml:space="preserve">. While lopsided victories in MMA are not unheard of, it questions the fairness of such a pairing. Similarly, </w:t>
      </w:r>
      <w:proofErr w:type="spellStart"/>
      <w:r w:rsidRPr="009F7AE7">
        <w:rPr>
          <w:rFonts w:ascii="Arial" w:eastAsia="Times New Roman" w:hAnsi="Arial" w:cs="Arial"/>
          <w:sz w:val="24"/>
          <w:szCs w:val="24"/>
        </w:rPr>
        <w:t>transfemale</w:t>
      </w:r>
      <w:proofErr w:type="spellEnd"/>
      <w:r w:rsidRPr="009F7AE7">
        <w:rPr>
          <w:rFonts w:ascii="Arial" w:eastAsia="Times New Roman" w:hAnsi="Arial" w:cs="Arial"/>
          <w:sz w:val="24"/>
          <w:szCs w:val="24"/>
        </w:rPr>
        <w:t xml:space="preserve"> handball player Hannah </w:t>
      </w:r>
      <w:proofErr w:type="spellStart"/>
      <w:r w:rsidRPr="009F7AE7">
        <w:rPr>
          <w:rFonts w:ascii="Arial" w:eastAsia="Times New Roman" w:hAnsi="Arial" w:cs="Arial"/>
          <w:sz w:val="24"/>
          <w:szCs w:val="24"/>
        </w:rPr>
        <w:t>Mouncey</w:t>
      </w:r>
      <w:proofErr w:type="spellEnd"/>
      <w:r w:rsidRPr="009F7AE7">
        <w:rPr>
          <w:rFonts w:ascii="Arial" w:eastAsia="Times New Roman" w:hAnsi="Arial" w:cs="Arial"/>
          <w:sz w:val="24"/>
          <w:szCs w:val="24"/>
        </w:rPr>
        <w:t xml:space="preserve"> retains physical prowess more characteristic of a male since she spent the majority of her life with male-like hormonal levels during development </w:t>
      </w:r>
      <w:r w:rsidR="00155320" w:rsidRPr="009F7AE7">
        <w:rPr>
          <w:rFonts w:ascii="Arial" w:eastAsia="Times New Roman" w:hAnsi="Arial" w:cs="Arial"/>
          <w:sz w:val="24"/>
          <w:szCs w:val="24"/>
        </w:rPr>
        <w:t>(</w:t>
      </w:r>
      <w:r w:rsidRPr="009F7AE7">
        <w:rPr>
          <w:rFonts w:ascii="Arial" w:eastAsia="Times New Roman" w:hAnsi="Arial" w:cs="Arial"/>
          <w:sz w:val="24"/>
          <w:szCs w:val="24"/>
        </w:rPr>
        <w:t>19</w:t>
      </w:r>
      <w:r w:rsidR="00155320" w:rsidRPr="009F7AE7">
        <w:rPr>
          <w:rFonts w:ascii="Arial" w:eastAsia="Times New Roman" w:hAnsi="Arial" w:cs="Arial"/>
          <w:sz w:val="24"/>
          <w:szCs w:val="24"/>
        </w:rPr>
        <w:t>)</w:t>
      </w:r>
      <w:r w:rsidRPr="009F7AE7">
        <w:rPr>
          <w:rFonts w:ascii="Arial" w:eastAsia="Times New Roman" w:hAnsi="Arial" w:cs="Arial"/>
          <w:sz w:val="24"/>
          <w:szCs w:val="24"/>
        </w:rPr>
        <w:t>. While these examples are in high-level competition</w:t>
      </w:r>
      <w:r w:rsidR="00155320" w:rsidRPr="009F7AE7">
        <w:rPr>
          <w:rFonts w:ascii="Arial" w:eastAsia="Times New Roman" w:hAnsi="Arial" w:cs="Arial"/>
          <w:sz w:val="24"/>
          <w:szCs w:val="24"/>
        </w:rPr>
        <w:t>,</w:t>
      </w:r>
      <w:r w:rsidRPr="009F7AE7">
        <w:rPr>
          <w:rFonts w:ascii="Arial" w:eastAsia="Times New Roman" w:hAnsi="Arial" w:cs="Arial"/>
          <w:sz w:val="24"/>
          <w:szCs w:val="24"/>
        </w:rPr>
        <w:t xml:space="preserve"> they illustrate potential risk </w:t>
      </w:r>
      <w:r w:rsidRPr="009F7AE7">
        <w:rPr>
          <w:rFonts w:ascii="Arial" w:eastAsia="Times New Roman" w:hAnsi="Arial" w:cs="Arial"/>
          <w:sz w:val="24"/>
          <w:szCs w:val="24"/>
        </w:rPr>
        <w:lastRenderedPageBreak/>
        <w:t xml:space="preserve">management challenges during competition. For additional examples, see: </w:t>
      </w:r>
      <w:r w:rsidRPr="009F7AE7">
        <w:rPr>
          <w:rFonts w:ascii="Arial" w:hAnsi="Arial" w:cs="Arial"/>
          <w:sz w:val="24"/>
          <w:szCs w:val="24"/>
        </w:rPr>
        <w:t>Female athletes who were crushed by ‘women who were once men</w:t>
      </w:r>
      <w:r w:rsidR="00155320" w:rsidRPr="009F7AE7">
        <w:rPr>
          <w:rFonts w:ascii="Arial" w:hAnsi="Arial" w:cs="Arial"/>
          <w:sz w:val="24"/>
          <w:szCs w:val="24"/>
        </w:rPr>
        <w:t>’</w:t>
      </w:r>
      <w:r w:rsidRPr="009F7AE7">
        <w:rPr>
          <w:rFonts w:ascii="Arial" w:hAnsi="Arial" w:cs="Arial"/>
          <w:sz w:val="24"/>
          <w:szCs w:val="24"/>
        </w:rPr>
        <w:t xml:space="preserve"> </w:t>
      </w:r>
      <w:r w:rsidR="00155320" w:rsidRPr="009F7AE7">
        <w:rPr>
          <w:rFonts w:ascii="Arial" w:hAnsi="Arial" w:cs="Arial"/>
          <w:sz w:val="24"/>
          <w:szCs w:val="24"/>
        </w:rPr>
        <w:t>(</w:t>
      </w:r>
      <w:r w:rsidRPr="009F7AE7">
        <w:rPr>
          <w:rFonts w:ascii="Arial" w:hAnsi="Arial" w:cs="Arial"/>
          <w:sz w:val="24"/>
          <w:szCs w:val="24"/>
        </w:rPr>
        <w:t>19</w:t>
      </w:r>
      <w:r w:rsidR="00155320" w:rsidRPr="009F7AE7">
        <w:rPr>
          <w:rFonts w:ascii="Arial" w:hAnsi="Arial" w:cs="Arial"/>
          <w:sz w:val="24"/>
          <w:szCs w:val="24"/>
        </w:rPr>
        <w:t>).</w:t>
      </w:r>
    </w:p>
    <w:p w14:paraId="48AFF7F1" w14:textId="4EA171A5" w:rsidR="00C23F05" w:rsidRPr="009F7AE7" w:rsidRDefault="00C23F05" w:rsidP="001C6A03">
      <w:pPr>
        <w:shd w:val="clear" w:color="auto" w:fill="FFFFFF"/>
        <w:spacing w:before="100" w:beforeAutospacing="1" w:after="100" w:afterAutospacing="1" w:line="276" w:lineRule="auto"/>
        <w:ind w:left="0" w:firstLine="0"/>
        <w:jc w:val="both"/>
        <w:rPr>
          <w:rFonts w:ascii="Arial" w:eastAsia="Times New Roman" w:hAnsi="Arial" w:cs="Arial"/>
          <w:bCs/>
          <w:kern w:val="36"/>
          <w:sz w:val="24"/>
          <w:szCs w:val="24"/>
        </w:rPr>
      </w:pPr>
      <w:r w:rsidRPr="009F7AE7">
        <w:rPr>
          <w:rFonts w:ascii="Arial" w:eastAsia="Times New Roman" w:hAnsi="Arial" w:cs="Arial"/>
          <w:sz w:val="24"/>
          <w:szCs w:val="24"/>
        </w:rPr>
        <w:t xml:space="preserve">Besides the physical risk to cisgender female athletes, there is also </w:t>
      </w:r>
      <w:r w:rsidR="00155320" w:rsidRPr="009F7AE7">
        <w:rPr>
          <w:rFonts w:ascii="Arial" w:eastAsia="Times New Roman" w:hAnsi="Arial" w:cs="Arial"/>
          <w:sz w:val="24"/>
          <w:szCs w:val="24"/>
        </w:rPr>
        <w:t>the</w:t>
      </w:r>
      <w:r w:rsidRPr="009F7AE7">
        <w:rPr>
          <w:rFonts w:ascii="Arial" w:eastAsia="Times New Roman" w:hAnsi="Arial" w:cs="Arial"/>
          <w:sz w:val="24"/>
          <w:szCs w:val="24"/>
        </w:rPr>
        <w:t xml:space="preserve"> question of fairness even with the rules currently in place for </w:t>
      </w:r>
      <w:proofErr w:type="spellStart"/>
      <w:r w:rsidRPr="009F7AE7">
        <w:rPr>
          <w:rFonts w:ascii="Arial" w:eastAsia="Times New Roman" w:hAnsi="Arial" w:cs="Arial"/>
          <w:sz w:val="24"/>
          <w:szCs w:val="24"/>
        </w:rPr>
        <w:t>transfemale</w:t>
      </w:r>
      <w:proofErr w:type="spellEnd"/>
      <w:r w:rsidRPr="009F7AE7">
        <w:rPr>
          <w:rFonts w:ascii="Arial" w:eastAsia="Times New Roman" w:hAnsi="Arial" w:cs="Arial"/>
          <w:sz w:val="24"/>
          <w:szCs w:val="24"/>
        </w:rPr>
        <w:t xml:space="preserve"> competition. In the well-cited paper examining physical performance of transgender Air Force cadets, it was shown that cis females retain significant physical advantage even after one year of affirming hormone therapy </w:t>
      </w:r>
      <w:r w:rsidR="00155320" w:rsidRPr="009F7AE7">
        <w:rPr>
          <w:rFonts w:ascii="Arial" w:eastAsia="Times New Roman" w:hAnsi="Arial" w:cs="Arial"/>
          <w:sz w:val="24"/>
          <w:szCs w:val="24"/>
        </w:rPr>
        <w:t>(</w:t>
      </w:r>
      <w:r w:rsidRPr="009F7AE7">
        <w:rPr>
          <w:rFonts w:ascii="Arial" w:eastAsia="Times New Roman" w:hAnsi="Arial" w:cs="Arial"/>
          <w:sz w:val="24"/>
          <w:szCs w:val="24"/>
        </w:rPr>
        <w:t>20</w:t>
      </w:r>
      <w:r w:rsidR="00155320" w:rsidRPr="009F7AE7">
        <w:rPr>
          <w:rFonts w:ascii="Arial" w:eastAsia="Times New Roman" w:hAnsi="Arial" w:cs="Arial"/>
          <w:sz w:val="24"/>
          <w:szCs w:val="24"/>
        </w:rPr>
        <w:t>)</w:t>
      </w:r>
      <w:r w:rsidRPr="009F7AE7">
        <w:rPr>
          <w:rFonts w:ascii="Arial" w:eastAsia="Times New Roman" w:hAnsi="Arial" w:cs="Arial"/>
          <w:sz w:val="24"/>
          <w:szCs w:val="24"/>
        </w:rPr>
        <w:t xml:space="preserve">. </w:t>
      </w:r>
      <w:r w:rsidR="00155320" w:rsidRPr="009F7AE7">
        <w:rPr>
          <w:rFonts w:ascii="Arial" w:eastAsia="Times New Roman" w:hAnsi="Arial" w:cs="Arial"/>
          <w:sz w:val="24"/>
          <w:szCs w:val="24"/>
        </w:rPr>
        <w:t xml:space="preserve">Roberts et al. (20) </w:t>
      </w:r>
      <w:r w:rsidRPr="009F7AE7">
        <w:rPr>
          <w:rFonts w:ascii="Arial" w:eastAsia="Times New Roman" w:hAnsi="Arial" w:cs="Arial"/>
          <w:sz w:val="24"/>
          <w:szCs w:val="24"/>
        </w:rPr>
        <w:t xml:space="preserve">suggested the rules </w:t>
      </w:r>
      <w:r w:rsidR="00155320" w:rsidRPr="009F7AE7">
        <w:rPr>
          <w:rFonts w:ascii="Arial" w:eastAsia="Times New Roman" w:hAnsi="Arial" w:cs="Arial"/>
          <w:sz w:val="24"/>
          <w:szCs w:val="24"/>
        </w:rPr>
        <w:t xml:space="preserve">should </w:t>
      </w:r>
      <w:r w:rsidRPr="009F7AE7">
        <w:rPr>
          <w:rFonts w:ascii="Arial" w:eastAsia="Times New Roman" w:hAnsi="Arial" w:cs="Arial"/>
          <w:sz w:val="24"/>
          <w:szCs w:val="24"/>
        </w:rPr>
        <w:t xml:space="preserve">be updated from </w:t>
      </w:r>
      <w:r w:rsidR="00155320" w:rsidRPr="009F7AE7">
        <w:rPr>
          <w:rFonts w:ascii="Arial" w:eastAsia="Times New Roman" w:hAnsi="Arial" w:cs="Arial"/>
          <w:sz w:val="24"/>
          <w:szCs w:val="24"/>
        </w:rPr>
        <w:t>1</w:t>
      </w:r>
      <w:r w:rsidRPr="009F7AE7">
        <w:rPr>
          <w:rFonts w:ascii="Arial" w:eastAsia="Times New Roman" w:hAnsi="Arial" w:cs="Arial"/>
          <w:sz w:val="24"/>
          <w:szCs w:val="24"/>
        </w:rPr>
        <w:t xml:space="preserve"> </w:t>
      </w:r>
      <w:r w:rsidR="00D404A6" w:rsidRPr="009F7AE7">
        <w:rPr>
          <w:rFonts w:ascii="Arial" w:eastAsia="Times New Roman" w:hAnsi="Arial" w:cs="Arial"/>
          <w:sz w:val="24"/>
          <w:szCs w:val="24"/>
        </w:rPr>
        <w:t xml:space="preserve">to </w:t>
      </w:r>
      <w:r w:rsidR="00155320" w:rsidRPr="009F7AE7">
        <w:rPr>
          <w:rFonts w:ascii="Arial" w:eastAsia="Times New Roman" w:hAnsi="Arial" w:cs="Arial"/>
          <w:sz w:val="24"/>
          <w:szCs w:val="24"/>
        </w:rPr>
        <w:t>2 y</w:t>
      </w:r>
      <w:r w:rsidR="00D404A6" w:rsidRPr="009F7AE7">
        <w:rPr>
          <w:rFonts w:ascii="Arial" w:eastAsia="Times New Roman" w:hAnsi="Arial" w:cs="Arial"/>
          <w:sz w:val="24"/>
          <w:szCs w:val="24"/>
        </w:rPr>
        <w:t>ea</w:t>
      </w:r>
      <w:r w:rsidR="00155320" w:rsidRPr="009F7AE7">
        <w:rPr>
          <w:rFonts w:ascii="Arial" w:eastAsia="Times New Roman" w:hAnsi="Arial" w:cs="Arial"/>
          <w:sz w:val="24"/>
          <w:szCs w:val="24"/>
        </w:rPr>
        <w:t>rs</w:t>
      </w:r>
      <w:r w:rsidRPr="009F7AE7">
        <w:rPr>
          <w:rFonts w:ascii="Arial" w:eastAsia="Times New Roman" w:hAnsi="Arial" w:cs="Arial"/>
          <w:sz w:val="24"/>
          <w:szCs w:val="24"/>
        </w:rPr>
        <w:t xml:space="preserve"> of testosterone suppression. </w:t>
      </w:r>
      <w:r w:rsidR="00D404A6" w:rsidRPr="009F7AE7">
        <w:rPr>
          <w:rFonts w:ascii="Arial" w:eastAsia="Times New Roman" w:hAnsi="Arial" w:cs="Arial"/>
          <w:sz w:val="24"/>
          <w:szCs w:val="24"/>
        </w:rPr>
        <w:t>Without question</w:t>
      </w:r>
      <w:r w:rsidRPr="009F7AE7">
        <w:rPr>
          <w:rFonts w:ascii="Arial" w:eastAsia="Times New Roman" w:hAnsi="Arial" w:cs="Arial"/>
          <w:sz w:val="24"/>
          <w:szCs w:val="24"/>
        </w:rPr>
        <w:t xml:space="preserve">, the rules will continue to be debated </w:t>
      </w:r>
      <w:r w:rsidR="00D404A6" w:rsidRPr="009F7AE7">
        <w:rPr>
          <w:rFonts w:ascii="Arial" w:eastAsia="Times New Roman" w:hAnsi="Arial" w:cs="Arial"/>
          <w:sz w:val="24"/>
          <w:szCs w:val="24"/>
        </w:rPr>
        <w:t>since</w:t>
      </w:r>
      <w:r w:rsidRPr="009F7AE7">
        <w:rPr>
          <w:rFonts w:ascii="Arial" w:eastAsia="Times New Roman" w:hAnsi="Arial" w:cs="Arial"/>
          <w:sz w:val="24"/>
          <w:szCs w:val="24"/>
        </w:rPr>
        <w:t xml:space="preserve"> there is </w:t>
      </w:r>
      <w:r w:rsidR="00D404A6" w:rsidRPr="009F7AE7">
        <w:rPr>
          <w:rFonts w:ascii="Arial" w:eastAsia="Times New Roman" w:hAnsi="Arial" w:cs="Arial"/>
          <w:sz w:val="24"/>
          <w:szCs w:val="24"/>
        </w:rPr>
        <w:t xml:space="preserve">the </w:t>
      </w:r>
      <w:r w:rsidRPr="009F7AE7">
        <w:rPr>
          <w:rFonts w:ascii="Arial" w:eastAsia="Times New Roman" w:hAnsi="Arial" w:cs="Arial"/>
          <w:sz w:val="24"/>
          <w:szCs w:val="24"/>
        </w:rPr>
        <w:t xml:space="preserve">concern that transwomen ruin the competitive environment for cisgender girls and women. </w:t>
      </w:r>
    </w:p>
    <w:p w14:paraId="21C7BC95" w14:textId="77777777" w:rsidR="00C23F05" w:rsidRPr="009F7AE7" w:rsidRDefault="00C23F05" w:rsidP="00C23F05">
      <w:pPr>
        <w:pStyle w:val="NormalWeb"/>
        <w:shd w:val="clear" w:color="auto" w:fill="FFFFFF"/>
        <w:rPr>
          <w:rFonts w:ascii="Arial" w:hAnsi="Arial" w:cs="Arial"/>
          <w:b/>
          <w:bCs/>
        </w:rPr>
      </w:pPr>
      <w:r w:rsidRPr="009F7AE7">
        <w:rPr>
          <w:rFonts w:ascii="Arial" w:hAnsi="Arial" w:cs="Arial"/>
          <w:b/>
          <w:bCs/>
        </w:rPr>
        <w:t xml:space="preserve">CONCLUSION  </w:t>
      </w:r>
    </w:p>
    <w:p w14:paraId="069A666A" w14:textId="2F3989F4" w:rsidR="00C23F05" w:rsidRPr="009F7AE7" w:rsidRDefault="00C23F05" w:rsidP="001C6A03">
      <w:pPr>
        <w:pStyle w:val="NormalWeb"/>
        <w:shd w:val="clear" w:color="auto" w:fill="FFFFFF"/>
        <w:spacing w:line="276" w:lineRule="auto"/>
        <w:jc w:val="both"/>
        <w:rPr>
          <w:rFonts w:ascii="Arial" w:hAnsi="Arial" w:cs="Arial"/>
          <w:bCs/>
        </w:rPr>
      </w:pPr>
      <w:r w:rsidRPr="009F7AE7">
        <w:rPr>
          <w:rFonts w:ascii="Arial" w:hAnsi="Arial" w:cs="Arial"/>
          <w:bCs/>
        </w:rPr>
        <w:t>While rules for sport participation and competition for transgender athletes are well established, they are not without controversy. There are a number of legal rulings in civil rights cases that define sex using biological determination, while sport competition allow</w:t>
      </w:r>
      <w:r w:rsidR="00EA396B" w:rsidRPr="009F7AE7">
        <w:rPr>
          <w:rFonts w:ascii="Arial" w:hAnsi="Arial" w:cs="Arial"/>
          <w:bCs/>
        </w:rPr>
        <w:t>s for</w:t>
      </w:r>
      <w:r w:rsidRPr="009F7AE7">
        <w:rPr>
          <w:rFonts w:ascii="Arial" w:hAnsi="Arial" w:cs="Arial"/>
          <w:bCs/>
        </w:rPr>
        <w:t xml:space="preserve"> self-determination with concomitant and consistent hormonal profile. This leaves the question: “Where are transgender athletes supposed to compete?” The implication appear</w:t>
      </w:r>
      <w:r w:rsidR="00EA396B" w:rsidRPr="009F7AE7">
        <w:rPr>
          <w:rFonts w:ascii="Arial" w:hAnsi="Arial" w:cs="Arial"/>
          <w:bCs/>
        </w:rPr>
        <w:t>s</w:t>
      </w:r>
      <w:r w:rsidRPr="009F7AE7">
        <w:rPr>
          <w:rFonts w:ascii="Arial" w:hAnsi="Arial" w:cs="Arial"/>
          <w:bCs/>
        </w:rPr>
        <w:t xml:space="preserve"> to be more significant for </w:t>
      </w:r>
      <w:r w:rsidR="00EA396B" w:rsidRPr="009F7AE7">
        <w:rPr>
          <w:rFonts w:ascii="Arial" w:hAnsi="Arial" w:cs="Arial"/>
          <w:bCs/>
        </w:rPr>
        <w:t xml:space="preserve">the </w:t>
      </w:r>
      <w:r w:rsidRPr="009F7AE7">
        <w:rPr>
          <w:rFonts w:ascii="Arial" w:hAnsi="Arial" w:cs="Arial"/>
          <w:bCs/>
        </w:rPr>
        <w:t xml:space="preserve">girls and women sports </w:t>
      </w:r>
      <w:r w:rsidR="00EA396B" w:rsidRPr="009F7AE7">
        <w:rPr>
          <w:rFonts w:ascii="Arial" w:hAnsi="Arial" w:cs="Arial"/>
          <w:bCs/>
        </w:rPr>
        <w:t>since</w:t>
      </w:r>
      <w:r w:rsidRPr="009F7AE7">
        <w:rPr>
          <w:rFonts w:ascii="Arial" w:hAnsi="Arial" w:cs="Arial"/>
          <w:bCs/>
        </w:rPr>
        <w:t xml:space="preserve"> it appears that </w:t>
      </w:r>
      <w:r w:rsidR="00EA396B" w:rsidRPr="009F7AE7">
        <w:rPr>
          <w:rFonts w:ascii="Arial" w:hAnsi="Arial" w:cs="Arial"/>
          <w:bCs/>
        </w:rPr>
        <w:t xml:space="preserve">the </w:t>
      </w:r>
      <w:proofErr w:type="spellStart"/>
      <w:r w:rsidRPr="009F7AE7">
        <w:rPr>
          <w:rFonts w:ascii="Arial" w:hAnsi="Arial" w:cs="Arial"/>
          <w:bCs/>
        </w:rPr>
        <w:t>transfemales</w:t>
      </w:r>
      <w:proofErr w:type="spellEnd"/>
      <w:r w:rsidRPr="009F7AE7">
        <w:rPr>
          <w:rFonts w:ascii="Arial" w:hAnsi="Arial" w:cs="Arial"/>
          <w:bCs/>
        </w:rPr>
        <w:t xml:space="preserve"> face greater doctrinal challenges conforming to fairness. Since the duration of developmental exposure to testosterone has </w:t>
      </w:r>
      <w:r w:rsidR="00EA396B" w:rsidRPr="009F7AE7">
        <w:rPr>
          <w:rFonts w:ascii="Arial" w:hAnsi="Arial" w:cs="Arial"/>
          <w:bCs/>
        </w:rPr>
        <w:t xml:space="preserve">the </w:t>
      </w:r>
      <w:r w:rsidRPr="009F7AE7">
        <w:rPr>
          <w:rFonts w:ascii="Arial" w:hAnsi="Arial" w:cs="Arial"/>
          <w:bCs/>
        </w:rPr>
        <w:t xml:space="preserve">potential to create </w:t>
      </w:r>
      <w:r w:rsidR="005D0116" w:rsidRPr="009F7AE7">
        <w:rPr>
          <w:rFonts w:ascii="Arial" w:hAnsi="Arial" w:cs="Arial"/>
          <w:bCs/>
        </w:rPr>
        <w:t xml:space="preserve">a </w:t>
      </w:r>
      <w:r w:rsidRPr="009F7AE7">
        <w:rPr>
          <w:rFonts w:ascii="Arial" w:hAnsi="Arial" w:cs="Arial"/>
          <w:bCs/>
        </w:rPr>
        <w:t xml:space="preserve">distinct phenotypic. An explicitly biological definition of sex would </w:t>
      </w:r>
      <w:r w:rsidR="00464BF4" w:rsidRPr="009F7AE7">
        <w:rPr>
          <w:rFonts w:ascii="Arial" w:hAnsi="Arial" w:cs="Arial"/>
          <w:bCs/>
        </w:rPr>
        <w:t xml:space="preserve">help </w:t>
      </w:r>
      <w:r w:rsidRPr="009F7AE7">
        <w:rPr>
          <w:rFonts w:ascii="Arial" w:hAnsi="Arial" w:cs="Arial"/>
          <w:bCs/>
        </w:rPr>
        <w:t xml:space="preserve">alleviate </w:t>
      </w:r>
      <w:r w:rsidR="005D0116" w:rsidRPr="009F7AE7">
        <w:rPr>
          <w:rFonts w:ascii="Arial" w:hAnsi="Arial" w:cs="Arial"/>
          <w:bCs/>
        </w:rPr>
        <w:t>many of the</w:t>
      </w:r>
      <w:r w:rsidRPr="009F7AE7">
        <w:rPr>
          <w:rFonts w:ascii="Arial" w:hAnsi="Arial" w:cs="Arial"/>
          <w:bCs/>
        </w:rPr>
        <w:t xml:space="preserve"> problems of fairness for cisgender athletes only. </w:t>
      </w:r>
    </w:p>
    <w:p w14:paraId="31039C2D" w14:textId="4C06BC99" w:rsidR="00D404A6" w:rsidRPr="009F7AE7" w:rsidRDefault="00D404A6" w:rsidP="00A9027F">
      <w:pPr>
        <w:pStyle w:val="NormalWeb"/>
        <w:shd w:val="clear" w:color="auto" w:fill="FFFFFF"/>
        <w:jc w:val="both"/>
        <w:rPr>
          <w:rFonts w:ascii="Arial" w:hAnsi="Arial" w:cs="Arial"/>
          <w:bCs/>
        </w:rPr>
      </w:pPr>
    </w:p>
    <w:p w14:paraId="6C57B284" w14:textId="2D35857E" w:rsidR="00C23F05" w:rsidRPr="009F7AE7" w:rsidRDefault="00C23F05" w:rsidP="00C23F05">
      <w:pPr>
        <w:spacing w:line="360" w:lineRule="auto"/>
        <w:ind w:left="0" w:right="90" w:firstLine="0"/>
        <w:jc w:val="both"/>
        <w:rPr>
          <w:rFonts w:ascii="Arial" w:hAnsi="Arial" w:cs="Arial"/>
          <w:b/>
        </w:rPr>
      </w:pPr>
      <w:r w:rsidRPr="009F7AE7">
        <w:rPr>
          <w:rFonts w:ascii="Arial" w:hAnsi="Arial" w:cs="Arial"/>
          <w:b/>
        </w:rPr>
        <w:t>___________________________________________________________________</w:t>
      </w:r>
      <w:r w:rsidR="00902934" w:rsidRPr="009F7AE7">
        <w:rPr>
          <w:rFonts w:ascii="Arial" w:hAnsi="Arial" w:cs="Arial"/>
          <w:b/>
        </w:rPr>
        <w:t xml:space="preserve">___ </w:t>
      </w:r>
    </w:p>
    <w:p w14:paraId="0E4AB1B8" w14:textId="6290AA8C" w:rsidR="00C23F05" w:rsidRPr="009F7AE7" w:rsidRDefault="00C23F05" w:rsidP="00A9027F">
      <w:pPr>
        <w:pBdr>
          <w:bottom w:val="single" w:sz="12" w:space="5" w:color="auto"/>
        </w:pBdr>
        <w:ind w:left="0" w:right="90" w:firstLine="0"/>
        <w:jc w:val="both"/>
        <w:rPr>
          <w:rFonts w:ascii="Arial" w:hAnsi="Arial" w:cs="Arial"/>
          <w:sz w:val="24"/>
          <w:szCs w:val="24"/>
        </w:rPr>
      </w:pPr>
      <w:r w:rsidRPr="009F7AE7">
        <w:rPr>
          <w:rFonts w:ascii="Arial" w:hAnsi="Arial" w:cs="Arial"/>
          <w:b/>
          <w:bCs/>
          <w:sz w:val="24"/>
          <w:szCs w:val="24"/>
        </w:rPr>
        <w:t xml:space="preserve">Address for Correspondence: </w:t>
      </w:r>
      <w:r w:rsidRPr="009F7AE7">
        <w:rPr>
          <w:rFonts w:ascii="Arial" w:hAnsi="Arial" w:cs="Arial"/>
          <w:sz w:val="24"/>
          <w:szCs w:val="24"/>
        </w:rPr>
        <w:t xml:space="preserve">Margaret E. </w:t>
      </w:r>
      <w:proofErr w:type="spellStart"/>
      <w:r w:rsidRPr="009F7AE7">
        <w:rPr>
          <w:rFonts w:ascii="Arial" w:hAnsi="Arial" w:cs="Arial"/>
          <w:sz w:val="24"/>
          <w:szCs w:val="24"/>
        </w:rPr>
        <w:t>Ciccolella</w:t>
      </w:r>
      <w:proofErr w:type="spellEnd"/>
      <w:r w:rsidRPr="009F7AE7">
        <w:rPr>
          <w:rFonts w:ascii="Arial" w:hAnsi="Arial" w:cs="Arial"/>
          <w:sz w:val="24"/>
          <w:szCs w:val="24"/>
        </w:rPr>
        <w:t>, Department of Health and Exercise Science, University of the Pacific, Stockton, CA. 95211. Phone: 209-946-2473 Email: mciccolella@pacific.edu</w:t>
      </w:r>
    </w:p>
    <w:p w14:paraId="6AE02CCC" w14:textId="77777777" w:rsidR="009F7AE7" w:rsidRDefault="009F7AE7" w:rsidP="00C23F05">
      <w:pPr>
        <w:ind w:left="0" w:firstLine="0"/>
        <w:rPr>
          <w:rFonts w:ascii="Arial" w:hAnsi="Arial" w:cs="Arial"/>
          <w:b/>
          <w:bCs/>
          <w:sz w:val="24"/>
          <w:szCs w:val="24"/>
        </w:rPr>
      </w:pPr>
    </w:p>
    <w:p w14:paraId="7A41A8F6" w14:textId="3C74E0C8" w:rsidR="00C23F05" w:rsidRPr="009F7AE7" w:rsidRDefault="00C23F05" w:rsidP="00C23F05">
      <w:pPr>
        <w:ind w:left="0" w:firstLine="0"/>
        <w:rPr>
          <w:rFonts w:ascii="Arial" w:hAnsi="Arial" w:cs="Arial"/>
          <w:b/>
          <w:bCs/>
          <w:sz w:val="24"/>
          <w:szCs w:val="24"/>
        </w:rPr>
      </w:pPr>
      <w:r w:rsidRPr="009F7AE7">
        <w:rPr>
          <w:rFonts w:ascii="Arial" w:hAnsi="Arial" w:cs="Arial"/>
          <w:b/>
          <w:bCs/>
          <w:sz w:val="24"/>
          <w:szCs w:val="24"/>
        </w:rPr>
        <w:t>R</w:t>
      </w:r>
      <w:r w:rsidR="00837CCA" w:rsidRPr="009F7AE7">
        <w:rPr>
          <w:rFonts w:ascii="Arial" w:hAnsi="Arial" w:cs="Arial"/>
          <w:b/>
          <w:bCs/>
          <w:sz w:val="24"/>
          <w:szCs w:val="24"/>
        </w:rPr>
        <w:t>eferences</w:t>
      </w:r>
    </w:p>
    <w:p w14:paraId="43FBD2EA" w14:textId="77777777" w:rsidR="00C23F05" w:rsidRPr="009F7AE7" w:rsidRDefault="00C23F05" w:rsidP="00C23F05">
      <w:pPr>
        <w:rPr>
          <w:rFonts w:ascii="Arial" w:hAnsi="Arial" w:cs="Arial"/>
          <w:b/>
          <w:bCs/>
          <w:sz w:val="24"/>
          <w:szCs w:val="24"/>
        </w:rPr>
      </w:pPr>
    </w:p>
    <w:p w14:paraId="2ED72410" w14:textId="1D5EC685" w:rsidR="00C23F05" w:rsidRPr="009F7AE7" w:rsidRDefault="00C23F05" w:rsidP="003D3236">
      <w:pPr>
        <w:pStyle w:val="ListParagraph"/>
        <w:numPr>
          <w:ilvl w:val="0"/>
          <w:numId w:val="27"/>
        </w:numPr>
        <w:jc w:val="both"/>
        <w:rPr>
          <w:rFonts w:ascii="Arial" w:eastAsia="Times New Roman" w:hAnsi="Arial" w:cs="Arial"/>
          <w:sz w:val="24"/>
          <w:szCs w:val="24"/>
        </w:rPr>
      </w:pPr>
      <w:r w:rsidRPr="009F7AE7">
        <w:rPr>
          <w:rFonts w:ascii="Arial" w:hAnsi="Arial" w:cs="Arial"/>
          <w:sz w:val="24"/>
          <w:szCs w:val="24"/>
        </w:rPr>
        <w:t>Bostock v</w:t>
      </w:r>
      <w:r w:rsidR="00837CCA" w:rsidRPr="009F7AE7">
        <w:rPr>
          <w:rFonts w:ascii="Arial" w:hAnsi="Arial" w:cs="Arial"/>
          <w:sz w:val="24"/>
          <w:szCs w:val="24"/>
        </w:rPr>
        <w:t>s</w:t>
      </w:r>
      <w:r w:rsidRPr="009F7AE7">
        <w:rPr>
          <w:rFonts w:ascii="Arial" w:hAnsi="Arial" w:cs="Arial"/>
          <w:sz w:val="24"/>
          <w:szCs w:val="24"/>
        </w:rPr>
        <w:t xml:space="preserve">. Clayton County, Georgia, </w:t>
      </w:r>
      <w:r w:rsidRPr="009F7AE7">
        <w:rPr>
          <w:rFonts w:ascii="Arial" w:eastAsia="Times New Roman" w:hAnsi="Arial" w:cs="Arial"/>
          <w:sz w:val="24"/>
          <w:szCs w:val="24"/>
        </w:rPr>
        <w:t>140 S. Ct. 173 (Supreme Court, 2020).</w:t>
      </w:r>
    </w:p>
    <w:p w14:paraId="0E8F577A" w14:textId="77777777" w:rsidR="00C23F05" w:rsidRPr="009F7AE7" w:rsidRDefault="00C23F05" w:rsidP="00902934">
      <w:pPr>
        <w:pStyle w:val="ListParagraph"/>
        <w:ind w:left="360"/>
        <w:jc w:val="both"/>
        <w:rPr>
          <w:rFonts w:ascii="Arial" w:eastAsia="Times New Roman" w:hAnsi="Arial" w:cs="Arial"/>
          <w:sz w:val="24"/>
          <w:szCs w:val="24"/>
        </w:rPr>
      </w:pPr>
    </w:p>
    <w:p w14:paraId="2C1B98BF" w14:textId="535ECD14" w:rsidR="00C23F05" w:rsidRPr="009F7AE7" w:rsidRDefault="00C23F05" w:rsidP="003D3236">
      <w:pPr>
        <w:pStyle w:val="ListParagraph"/>
        <w:numPr>
          <w:ilvl w:val="0"/>
          <w:numId w:val="27"/>
        </w:numPr>
        <w:jc w:val="both"/>
        <w:rPr>
          <w:rFonts w:ascii="Arial" w:eastAsia="Times New Roman" w:hAnsi="Arial" w:cs="Arial"/>
          <w:sz w:val="24"/>
          <w:szCs w:val="24"/>
        </w:rPr>
      </w:pPr>
      <w:r w:rsidRPr="009F7AE7">
        <w:rPr>
          <w:rFonts w:ascii="Arial" w:eastAsia="Times New Roman" w:hAnsi="Arial" w:cs="Arial"/>
          <w:sz w:val="24"/>
          <w:szCs w:val="24"/>
        </w:rPr>
        <w:t>Protection of Women and Girls in Sports Act of 2020, H.R. 5603, 116th Cong. (</w:t>
      </w:r>
      <w:r w:rsidR="00D85409" w:rsidRPr="009F7AE7">
        <w:rPr>
          <w:rFonts w:ascii="Arial" w:eastAsia="Times New Roman" w:hAnsi="Arial" w:cs="Arial"/>
          <w:sz w:val="24"/>
          <w:szCs w:val="24"/>
        </w:rPr>
        <w:t xml:space="preserve">Online, </w:t>
      </w:r>
      <w:r w:rsidRPr="009F7AE7">
        <w:rPr>
          <w:rFonts w:ascii="Arial" w:hAnsi="Arial" w:cs="Arial"/>
          <w:sz w:val="24"/>
          <w:szCs w:val="24"/>
        </w:rPr>
        <w:t xml:space="preserve">2020). </w:t>
      </w:r>
      <w:r w:rsidR="00D85409" w:rsidRPr="009F7AE7">
        <w:rPr>
          <w:rFonts w:ascii="Arial" w:hAnsi="Arial" w:cs="Arial"/>
          <w:sz w:val="24"/>
          <w:szCs w:val="24"/>
        </w:rPr>
        <w:t>https://www.congress.gov/bill/116th-congress/house-bill/</w:t>
      </w:r>
      <w:r w:rsidRPr="009F7AE7">
        <w:rPr>
          <w:rFonts w:ascii="Arial" w:hAnsi="Arial" w:cs="Arial"/>
          <w:sz w:val="24"/>
          <w:szCs w:val="24"/>
        </w:rPr>
        <w:t>560</w:t>
      </w:r>
      <w:r w:rsidR="00D85409" w:rsidRPr="009F7AE7">
        <w:rPr>
          <w:rFonts w:ascii="Arial" w:hAnsi="Arial" w:cs="Arial"/>
          <w:sz w:val="24"/>
          <w:szCs w:val="24"/>
        </w:rPr>
        <w:t xml:space="preserve"> </w:t>
      </w:r>
      <w:r w:rsidRPr="009F7AE7">
        <w:rPr>
          <w:rFonts w:ascii="Arial" w:hAnsi="Arial" w:cs="Arial"/>
          <w:sz w:val="24"/>
          <w:szCs w:val="24"/>
        </w:rPr>
        <w:t xml:space="preserve">3/ </w:t>
      </w:r>
    </w:p>
    <w:p w14:paraId="39BF9E6B" w14:textId="77777777" w:rsidR="00C23F05" w:rsidRPr="009F7AE7" w:rsidRDefault="00C23F05" w:rsidP="00902934">
      <w:pPr>
        <w:jc w:val="both"/>
        <w:rPr>
          <w:rFonts w:ascii="Arial" w:eastAsia="Times New Roman" w:hAnsi="Arial" w:cs="Arial"/>
          <w:sz w:val="24"/>
          <w:szCs w:val="24"/>
        </w:rPr>
      </w:pPr>
    </w:p>
    <w:p w14:paraId="072D5035" w14:textId="777662F3" w:rsidR="00C23F05" w:rsidRPr="009F7AE7" w:rsidRDefault="00C23F05" w:rsidP="003D3236">
      <w:pPr>
        <w:pStyle w:val="ListParagraph"/>
        <w:numPr>
          <w:ilvl w:val="0"/>
          <w:numId w:val="27"/>
        </w:numPr>
        <w:ind w:right="90"/>
        <w:jc w:val="both"/>
        <w:rPr>
          <w:rStyle w:val="Hyperlink"/>
          <w:rFonts w:ascii="Arial" w:eastAsia="Times New Roman" w:hAnsi="Arial" w:cs="Arial"/>
          <w:color w:val="auto"/>
          <w:sz w:val="24"/>
          <w:szCs w:val="24"/>
        </w:rPr>
      </w:pPr>
      <w:r w:rsidRPr="009F7AE7">
        <w:rPr>
          <w:rFonts w:ascii="Arial" w:eastAsia="Times New Roman" w:hAnsi="Arial" w:cs="Arial"/>
          <w:bCs/>
          <w:kern w:val="36"/>
          <w:sz w:val="24"/>
          <w:szCs w:val="24"/>
        </w:rPr>
        <w:lastRenderedPageBreak/>
        <w:t xml:space="preserve">Title IX of the Education Amendments Act of 1972, </w:t>
      </w:r>
      <w:r w:rsidRPr="009F7AE7">
        <w:rPr>
          <w:rFonts w:ascii="Arial" w:eastAsia="Times New Roman" w:hAnsi="Arial" w:cs="Arial"/>
          <w:bCs/>
          <w:sz w:val="24"/>
          <w:szCs w:val="24"/>
        </w:rPr>
        <w:t xml:space="preserve">Title 20 U.S.C., </w:t>
      </w:r>
      <w:r w:rsidRPr="009F7AE7">
        <w:rPr>
          <w:rFonts w:ascii="Arial" w:hAnsi="Arial" w:cs="Arial"/>
          <w:bCs/>
          <w:sz w:val="24"/>
          <w:szCs w:val="24"/>
        </w:rPr>
        <w:t>§</w:t>
      </w:r>
      <w:r w:rsidRPr="009F7AE7">
        <w:rPr>
          <w:rFonts w:ascii="Arial" w:eastAsia="Times New Roman" w:hAnsi="Arial" w:cs="Arial"/>
          <w:bCs/>
          <w:sz w:val="24"/>
          <w:szCs w:val="24"/>
        </w:rPr>
        <w:t>1681-1688.</w:t>
      </w:r>
      <w:r w:rsidRPr="009F7AE7">
        <w:rPr>
          <w:rFonts w:ascii="Arial" w:eastAsia="Times New Roman" w:hAnsi="Arial" w:cs="Arial"/>
          <w:sz w:val="24"/>
          <w:szCs w:val="24"/>
        </w:rPr>
        <w:t xml:space="preserve"> https://www.justice.gov/crt/title-ix-education-amendments-1972</w:t>
      </w:r>
    </w:p>
    <w:p w14:paraId="706AB2DB" w14:textId="77777777" w:rsidR="00C23F05" w:rsidRPr="009F7AE7" w:rsidRDefault="00C23F05" w:rsidP="00902934">
      <w:pPr>
        <w:pStyle w:val="ListParagraph"/>
        <w:jc w:val="both"/>
        <w:rPr>
          <w:rStyle w:val="Hyperlink"/>
          <w:rFonts w:ascii="Arial" w:eastAsia="Times New Roman" w:hAnsi="Arial" w:cs="Arial"/>
          <w:color w:val="auto"/>
          <w:sz w:val="24"/>
          <w:szCs w:val="24"/>
        </w:rPr>
      </w:pPr>
    </w:p>
    <w:p w14:paraId="485C5ED7" w14:textId="6CBBBC82" w:rsidR="00C23F05" w:rsidRPr="009F7AE7" w:rsidRDefault="00C23F05" w:rsidP="003D3236">
      <w:pPr>
        <w:pStyle w:val="ListParagraph"/>
        <w:numPr>
          <w:ilvl w:val="0"/>
          <w:numId w:val="27"/>
        </w:numPr>
        <w:jc w:val="both"/>
        <w:rPr>
          <w:rFonts w:ascii="Arial" w:eastAsia="Times New Roman" w:hAnsi="Arial" w:cs="Arial"/>
          <w:sz w:val="24"/>
          <w:szCs w:val="24"/>
        </w:rPr>
      </w:pPr>
      <w:r w:rsidRPr="009F7AE7">
        <w:rPr>
          <w:rFonts w:ascii="Arial" w:eastAsia="Times New Roman" w:hAnsi="Arial" w:cs="Arial"/>
          <w:sz w:val="24"/>
          <w:szCs w:val="24"/>
        </w:rPr>
        <w:t>The Family Educational Rights and Privacy Act of 1974, 20 U.S. Code § 1232.</w:t>
      </w:r>
    </w:p>
    <w:p w14:paraId="1AAF2B82" w14:textId="77777777" w:rsidR="00C23F05" w:rsidRPr="009F7AE7" w:rsidRDefault="00C23F05" w:rsidP="00902934">
      <w:pPr>
        <w:pStyle w:val="ListParagraph"/>
        <w:jc w:val="both"/>
        <w:rPr>
          <w:rFonts w:ascii="Arial" w:eastAsia="Times New Roman" w:hAnsi="Arial" w:cs="Arial"/>
          <w:sz w:val="24"/>
          <w:szCs w:val="24"/>
        </w:rPr>
      </w:pPr>
    </w:p>
    <w:p w14:paraId="4D24E60E" w14:textId="77777777" w:rsidR="00C23F05" w:rsidRPr="009F7AE7" w:rsidRDefault="00C23F05" w:rsidP="003D3236">
      <w:pPr>
        <w:pStyle w:val="ListParagraph"/>
        <w:numPr>
          <w:ilvl w:val="0"/>
          <w:numId w:val="27"/>
        </w:numPr>
        <w:spacing w:before="100" w:beforeAutospacing="1" w:after="100" w:afterAutospacing="1"/>
        <w:jc w:val="both"/>
        <w:outlineLvl w:val="1"/>
        <w:rPr>
          <w:rFonts w:ascii="Arial" w:eastAsia="Times New Roman" w:hAnsi="Arial" w:cs="Arial"/>
          <w:sz w:val="24"/>
          <w:szCs w:val="24"/>
        </w:rPr>
      </w:pPr>
      <w:r w:rsidRPr="009F7AE7">
        <w:rPr>
          <w:rFonts w:ascii="Arial" w:eastAsia="Times New Roman" w:hAnsi="Arial" w:cs="Arial"/>
          <w:sz w:val="24"/>
          <w:szCs w:val="24"/>
        </w:rPr>
        <w:t xml:space="preserve">Title VII, Civil Rights Act of 1964, 42 U.S.C. Chapter 2. </w:t>
      </w:r>
    </w:p>
    <w:p w14:paraId="1B9A7A09" w14:textId="77777777" w:rsidR="00C23F05" w:rsidRPr="009F7AE7" w:rsidRDefault="00C23F05" w:rsidP="00902934">
      <w:pPr>
        <w:pStyle w:val="ListParagraph"/>
        <w:jc w:val="both"/>
        <w:rPr>
          <w:rFonts w:ascii="Arial" w:hAnsi="Arial" w:cs="Arial"/>
          <w:sz w:val="24"/>
          <w:szCs w:val="24"/>
        </w:rPr>
      </w:pPr>
    </w:p>
    <w:p w14:paraId="104861AC" w14:textId="0DE597CE" w:rsidR="00C23F05" w:rsidRPr="009F7AE7" w:rsidRDefault="00C23F05" w:rsidP="003D3236">
      <w:pPr>
        <w:pStyle w:val="ListParagraph"/>
        <w:numPr>
          <w:ilvl w:val="0"/>
          <w:numId w:val="27"/>
        </w:numPr>
        <w:spacing w:before="100" w:beforeAutospacing="1" w:after="100" w:afterAutospacing="1"/>
        <w:jc w:val="both"/>
        <w:outlineLvl w:val="1"/>
        <w:rPr>
          <w:rFonts w:ascii="Arial" w:eastAsia="Times New Roman" w:hAnsi="Arial" w:cs="Arial"/>
          <w:sz w:val="24"/>
          <w:szCs w:val="24"/>
        </w:rPr>
      </w:pPr>
      <w:proofErr w:type="spellStart"/>
      <w:r w:rsidRPr="009F7AE7">
        <w:rPr>
          <w:rFonts w:ascii="Arial" w:hAnsi="Arial" w:cs="Arial"/>
          <w:sz w:val="24"/>
          <w:szCs w:val="24"/>
        </w:rPr>
        <w:t>Lhamon</w:t>
      </w:r>
      <w:proofErr w:type="spellEnd"/>
      <w:r w:rsidRPr="009F7AE7">
        <w:rPr>
          <w:rFonts w:ascii="Arial" w:hAnsi="Arial" w:cs="Arial"/>
          <w:sz w:val="24"/>
          <w:szCs w:val="24"/>
        </w:rPr>
        <w:t xml:space="preserve"> CE</w:t>
      </w:r>
      <w:r w:rsidR="00D17DCB" w:rsidRPr="009F7AE7">
        <w:rPr>
          <w:rFonts w:ascii="Arial" w:hAnsi="Arial" w:cs="Arial"/>
          <w:sz w:val="24"/>
          <w:szCs w:val="24"/>
        </w:rPr>
        <w:t>,</w:t>
      </w:r>
      <w:r w:rsidRPr="009F7AE7">
        <w:rPr>
          <w:rFonts w:ascii="Arial" w:hAnsi="Arial" w:cs="Arial"/>
          <w:sz w:val="24"/>
          <w:szCs w:val="24"/>
        </w:rPr>
        <w:t xml:space="preserve"> Gupta V. Dear colleague letter on transgender students. </w:t>
      </w:r>
      <w:r w:rsidRPr="009F7AE7">
        <w:rPr>
          <w:rFonts w:ascii="Arial" w:hAnsi="Arial" w:cs="Arial"/>
          <w:b/>
          <w:bCs/>
          <w:i/>
          <w:sz w:val="24"/>
          <w:szCs w:val="24"/>
        </w:rPr>
        <w:t>U.S. Department of Justice: Civil Right Division and U.S. Department of Education: Office for Civil Rights.</w:t>
      </w:r>
      <w:r w:rsidRPr="009F7AE7">
        <w:rPr>
          <w:rFonts w:ascii="Arial" w:hAnsi="Arial" w:cs="Arial"/>
          <w:sz w:val="24"/>
          <w:szCs w:val="24"/>
        </w:rPr>
        <w:t xml:space="preserve"> </w:t>
      </w:r>
      <w:r w:rsidR="008B3FA5" w:rsidRPr="009F7AE7">
        <w:rPr>
          <w:rFonts w:ascii="Arial" w:hAnsi="Arial" w:cs="Arial"/>
          <w:sz w:val="24"/>
          <w:szCs w:val="24"/>
        </w:rPr>
        <w:t xml:space="preserve">(Online, May 13, 2016). </w:t>
      </w:r>
      <w:r w:rsidR="00D17DCB" w:rsidRPr="009F7AE7">
        <w:rPr>
          <w:rFonts w:ascii="Arial" w:eastAsiaTheme="majorEastAsia" w:hAnsi="Arial" w:cs="Arial"/>
          <w:sz w:val="24"/>
          <w:szCs w:val="24"/>
        </w:rPr>
        <w:t>https://www2. ed.gov/about/offices/list/ocr/letters/colleague-201605</w:t>
      </w:r>
      <w:r w:rsidRPr="009F7AE7">
        <w:rPr>
          <w:rFonts w:ascii="Arial" w:eastAsiaTheme="majorEastAsia" w:hAnsi="Arial" w:cs="Arial"/>
          <w:sz w:val="24"/>
          <w:szCs w:val="24"/>
        </w:rPr>
        <w:t>-title-ix-</w:t>
      </w:r>
      <w:proofErr w:type="gramStart"/>
      <w:r w:rsidRPr="009F7AE7">
        <w:rPr>
          <w:rFonts w:ascii="Arial" w:eastAsiaTheme="majorEastAsia" w:hAnsi="Arial" w:cs="Arial"/>
          <w:sz w:val="24"/>
          <w:szCs w:val="24"/>
        </w:rPr>
        <w:t>transgender.p</w:t>
      </w:r>
      <w:r w:rsidR="00D17DCB" w:rsidRPr="009F7AE7">
        <w:rPr>
          <w:rFonts w:ascii="Arial" w:eastAsiaTheme="majorEastAsia" w:hAnsi="Arial" w:cs="Arial"/>
          <w:sz w:val="24"/>
          <w:szCs w:val="24"/>
        </w:rPr>
        <w:t>d</w:t>
      </w:r>
      <w:proofErr w:type="gramEnd"/>
      <w:r w:rsidR="00D17DCB" w:rsidRPr="009F7AE7">
        <w:rPr>
          <w:rFonts w:ascii="Arial" w:eastAsiaTheme="majorEastAsia" w:hAnsi="Arial" w:cs="Arial"/>
          <w:sz w:val="24"/>
          <w:szCs w:val="24"/>
        </w:rPr>
        <w:t xml:space="preserve"> </w:t>
      </w:r>
      <w:r w:rsidRPr="009F7AE7">
        <w:rPr>
          <w:rFonts w:ascii="Arial" w:eastAsiaTheme="majorEastAsia" w:hAnsi="Arial" w:cs="Arial"/>
          <w:sz w:val="24"/>
          <w:szCs w:val="24"/>
        </w:rPr>
        <w:t>f</w:t>
      </w:r>
      <w:r w:rsidRPr="009F7AE7">
        <w:rPr>
          <w:rFonts w:ascii="Arial" w:hAnsi="Arial" w:cs="Arial"/>
          <w:sz w:val="24"/>
          <w:szCs w:val="24"/>
        </w:rPr>
        <w:t>.</w:t>
      </w:r>
    </w:p>
    <w:p w14:paraId="43D7B204" w14:textId="77777777" w:rsidR="00C23F05" w:rsidRPr="009F7AE7" w:rsidRDefault="00C23F05" w:rsidP="00902934">
      <w:pPr>
        <w:pStyle w:val="ListParagraph"/>
        <w:jc w:val="both"/>
        <w:rPr>
          <w:rFonts w:ascii="Arial" w:eastAsia="Times New Roman" w:hAnsi="Arial" w:cs="Arial"/>
          <w:sz w:val="24"/>
          <w:szCs w:val="24"/>
        </w:rPr>
      </w:pPr>
    </w:p>
    <w:p w14:paraId="6885D545" w14:textId="59C95F6D" w:rsidR="003D3236" w:rsidRPr="009F7AE7" w:rsidRDefault="00C23F05" w:rsidP="003D3236">
      <w:pPr>
        <w:pStyle w:val="ListParagraph"/>
        <w:numPr>
          <w:ilvl w:val="0"/>
          <w:numId w:val="27"/>
        </w:numPr>
        <w:ind w:right="90"/>
        <w:jc w:val="both"/>
        <w:rPr>
          <w:rFonts w:ascii="Arial" w:hAnsi="Arial" w:cs="Arial"/>
          <w:i/>
          <w:iCs/>
          <w:sz w:val="24"/>
          <w:szCs w:val="24"/>
        </w:rPr>
      </w:pPr>
      <w:r w:rsidRPr="009F7AE7">
        <w:rPr>
          <w:rFonts w:ascii="Arial" w:eastAsia="Times New Roman" w:hAnsi="Arial" w:cs="Arial"/>
          <w:iCs/>
          <w:sz w:val="24"/>
          <w:szCs w:val="24"/>
        </w:rPr>
        <w:t>G.G. v</w:t>
      </w:r>
      <w:r w:rsidR="00837CCA" w:rsidRPr="009F7AE7">
        <w:rPr>
          <w:rFonts w:ascii="Arial" w:eastAsia="Times New Roman" w:hAnsi="Arial" w:cs="Arial"/>
          <w:iCs/>
          <w:sz w:val="24"/>
          <w:szCs w:val="24"/>
        </w:rPr>
        <w:t>s</w:t>
      </w:r>
      <w:r w:rsidRPr="009F7AE7">
        <w:rPr>
          <w:rFonts w:ascii="Arial" w:eastAsia="Times New Roman" w:hAnsi="Arial" w:cs="Arial"/>
          <w:iCs/>
          <w:sz w:val="24"/>
          <w:szCs w:val="24"/>
        </w:rPr>
        <w:t xml:space="preserve">. Gloucester School Board, </w:t>
      </w:r>
      <w:r w:rsidRPr="009F7AE7">
        <w:rPr>
          <w:rFonts w:ascii="Arial" w:eastAsia="Times New Roman" w:hAnsi="Arial" w:cs="Arial"/>
          <w:sz w:val="24"/>
          <w:szCs w:val="24"/>
        </w:rPr>
        <w:t>822 F.3d 709 (4th Cir. 2016).</w:t>
      </w:r>
    </w:p>
    <w:p w14:paraId="71539E1E" w14:textId="77777777" w:rsidR="003D3236" w:rsidRPr="009F7AE7" w:rsidRDefault="003D3236" w:rsidP="003D3236">
      <w:pPr>
        <w:pStyle w:val="ListParagraph"/>
        <w:rPr>
          <w:rStyle w:val="Emphasis"/>
          <w:rFonts w:ascii="Arial" w:hAnsi="Arial" w:cs="Arial"/>
          <w:i w:val="0"/>
          <w:iCs w:val="0"/>
          <w:sz w:val="24"/>
          <w:szCs w:val="24"/>
        </w:rPr>
      </w:pPr>
    </w:p>
    <w:p w14:paraId="2B695106" w14:textId="7A2E358D" w:rsidR="00C23F05" w:rsidRPr="009F7AE7" w:rsidRDefault="00C23F05" w:rsidP="003D3236">
      <w:pPr>
        <w:pStyle w:val="ListParagraph"/>
        <w:numPr>
          <w:ilvl w:val="0"/>
          <w:numId w:val="27"/>
        </w:numPr>
        <w:ind w:right="90"/>
        <w:jc w:val="both"/>
        <w:rPr>
          <w:rFonts w:ascii="Arial" w:hAnsi="Arial" w:cs="Arial"/>
          <w:i/>
          <w:iCs/>
          <w:sz w:val="24"/>
          <w:szCs w:val="24"/>
        </w:rPr>
      </w:pPr>
      <w:r w:rsidRPr="009F7AE7">
        <w:rPr>
          <w:rStyle w:val="Emphasis"/>
          <w:rFonts w:ascii="Arial" w:hAnsi="Arial" w:cs="Arial"/>
          <w:i w:val="0"/>
          <w:iCs w:val="0"/>
          <w:sz w:val="24"/>
          <w:szCs w:val="24"/>
        </w:rPr>
        <w:t>Texas v</w:t>
      </w:r>
      <w:r w:rsidR="00837CCA" w:rsidRPr="009F7AE7">
        <w:rPr>
          <w:rStyle w:val="Emphasis"/>
          <w:rFonts w:ascii="Arial" w:hAnsi="Arial" w:cs="Arial"/>
          <w:i w:val="0"/>
          <w:iCs w:val="0"/>
          <w:sz w:val="24"/>
          <w:szCs w:val="24"/>
        </w:rPr>
        <w:t>s</w:t>
      </w:r>
      <w:r w:rsidRPr="009F7AE7">
        <w:rPr>
          <w:rStyle w:val="Emphasis"/>
          <w:rFonts w:ascii="Arial" w:hAnsi="Arial" w:cs="Arial"/>
          <w:i w:val="0"/>
          <w:iCs w:val="0"/>
          <w:sz w:val="24"/>
          <w:szCs w:val="24"/>
        </w:rPr>
        <w:t>. United States</w:t>
      </w:r>
      <w:r w:rsidRPr="009F7AE7">
        <w:rPr>
          <w:rFonts w:ascii="Arial" w:hAnsi="Arial" w:cs="Arial"/>
          <w:i/>
          <w:iCs/>
          <w:sz w:val="24"/>
          <w:szCs w:val="24"/>
        </w:rPr>
        <w:t xml:space="preserve">, </w:t>
      </w:r>
      <w:r w:rsidRPr="009F7AE7">
        <w:rPr>
          <w:rFonts w:ascii="Arial" w:hAnsi="Arial" w:cs="Arial"/>
          <w:sz w:val="24"/>
          <w:szCs w:val="24"/>
        </w:rPr>
        <w:t>201 F.Supp.3d 810 (N.D. Tex. 2016).</w:t>
      </w:r>
    </w:p>
    <w:p w14:paraId="0256212F" w14:textId="77777777" w:rsidR="00C23F05" w:rsidRPr="009F7AE7" w:rsidRDefault="00C23F05" w:rsidP="00902934">
      <w:pPr>
        <w:pStyle w:val="ListParagraph"/>
        <w:jc w:val="both"/>
        <w:rPr>
          <w:rFonts w:ascii="Arial" w:eastAsia="Times New Roman" w:hAnsi="Arial" w:cs="Arial"/>
          <w:sz w:val="24"/>
          <w:szCs w:val="24"/>
        </w:rPr>
      </w:pPr>
    </w:p>
    <w:p w14:paraId="3D43BEEC" w14:textId="5FE39BBC" w:rsidR="00C23F05" w:rsidRPr="009F7AE7" w:rsidRDefault="00C23F05" w:rsidP="003D3236">
      <w:pPr>
        <w:pStyle w:val="ListParagraph"/>
        <w:numPr>
          <w:ilvl w:val="0"/>
          <w:numId w:val="27"/>
        </w:numPr>
        <w:ind w:right="90"/>
        <w:jc w:val="both"/>
        <w:rPr>
          <w:rFonts w:ascii="Arial" w:hAnsi="Arial" w:cs="Arial"/>
          <w:iCs/>
          <w:sz w:val="24"/>
          <w:szCs w:val="24"/>
        </w:rPr>
      </w:pPr>
      <w:r w:rsidRPr="009F7AE7">
        <w:rPr>
          <w:rFonts w:ascii="Arial" w:eastAsia="Times New Roman" w:hAnsi="Arial" w:cs="Arial"/>
          <w:sz w:val="24"/>
          <w:szCs w:val="24"/>
        </w:rPr>
        <w:t>Biden J. Presidential executive order on preventing and combating discrimination on the basis of gender identity for sexual orientation.</w:t>
      </w:r>
      <w:r w:rsidR="00464BF4" w:rsidRPr="009F7AE7">
        <w:rPr>
          <w:rFonts w:ascii="Arial" w:eastAsia="Times New Roman" w:hAnsi="Arial" w:cs="Arial"/>
          <w:sz w:val="24"/>
          <w:szCs w:val="24"/>
        </w:rPr>
        <w:t xml:space="preserve"> </w:t>
      </w:r>
      <w:r w:rsidR="008B3FA5" w:rsidRPr="009F7AE7">
        <w:rPr>
          <w:rFonts w:ascii="Arial" w:eastAsia="Times New Roman" w:hAnsi="Arial" w:cs="Arial"/>
          <w:sz w:val="24"/>
          <w:szCs w:val="24"/>
        </w:rPr>
        <w:t>(Online, January 20, 2021). https://www.whitehouse.gov/ briefing-</w:t>
      </w:r>
      <w:r w:rsidR="00464BF4" w:rsidRPr="009F7AE7">
        <w:rPr>
          <w:rFonts w:ascii="Arial" w:eastAsia="Times New Roman" w:hAnsi="Arial" w:cs="Arial"/>
          <w:sz w:val="24"/>
          <w:szCs w:val="24"/>
        </w:rPr>
        <w:t>room/presidential-actions/</w:t>
      </w:r>
      <w:r w:rsidRPr="009F7AE7">
        <w:rPr>
          <w:rFonts w:ascii="Arial" w:eastAsia="Times New Roman" w:hAnsi="Arial" w:cs="Arial"/>
          <w:sz w:val="24"/>
          <w:szCs w:val="24"/>
        </w:rPr>
        <w:t>2021/01/20/executive-order-preventing-and-combating-discriminat</w:t>
      </w:r>
      <w:r w:rsidR="008B3FA5" w:rsidRPr="009F7AE7">
        <w:rPr>
          <w:rFonts w:ascii="Arial" w:eastAsia="Times New Roman" w:hAnsi="Arial" w:cs="Arial"/>
          <w:sz w:val="24"/>
          <w:szCs w:val="24"/>
        </w:rPr>
        <w:t xml:space="preserve">i </w:t>
      </w:r>
      <w:r w:rsidRPr="009F7AE7">
        <w:rPr>
          <w:rFonts w:ascii="Arial" w:eastAsia="Times New Roman" w:hAnsi="Arial" w:cs="Arial"/>
          <w:sz w:val="24"/>
          <w:szCs w:val="24"/>
        </w:rPr>
        <w:t>on-on-basis-of-gender-identity-or-sexual-orientation/</w:t>
      </w:r>
    </w:p>
    <w:p w14:paraId="6B003C13" w14:textId="77777777" w:rsidR="00C23F05" w:rsidRPr="009F7AE7" w:rsidRDefault="00C23F05" w:rsidP="008B3FA5">
      <w:pPr>
        <w:ind w:left="0" w:firstLine="0"/>
        <w:jc w:val="both"/>
        <w:rPr>
          <w:rFonts w:ascii="Arial" w:hAnsi="Arial" w:cs="Arial"/>
          <w:i/>
          <w:iCs/>
          <w:sz w:val="24"/>
          <w:szCs w:val="24"/>
        </w:rPr>
      </w:pPr>
    </w:p>
    <w:p w14:paraId="030D9BAB" w14:textId="77777777" w:rsidR="00C23F05" w:rsidRPr="009F7AE7" w:rsidRDefault="00C23F05" w:rsidP="003D3236">
      <w:pPr>
        <w:pStyle w:val="ListParagraph"/>
        <w:numPr>
          <w:ilvl w:val="0"/>
          <w:numId w:val="27"/>
        </w:numPr>
        <w:jc w:val="both"/>
        <w:rPr>
          <w:rFonts w:ascii="Arial" w:eastAsia="Times New Roman" w:hAnsi="Arial" w:cs="Arial"/>
          <w:sz w:val="24"/>
          <w:szCs w:val="24"/>
        </w:rPr>
      </w:pPr>
      <w:r w:rsidRPr="009F7AE7">
        <w:rPr>
          <w:rFonts w:ascii="Arial" w:eastAsia="Times New Roman" w:hAnsi="Arial" w:cs="Arial"/>
          <w:sz w:val="24"/>
          <w:szCs w:val="24"/>
        </w:rPr>
        <w:t xml:space="preserve">The Family Educational Rights and Privacy Act of 1974, </w:t>
      </w:r>
      <w:r w:rsidRPr="009F7AE7">
        <w:rPr>
          <w:rFonts w:ascii="Arial" w:hAnsi="Arial" w:cs="Arial"/>
          <w:sz w:val="24"/>
          <w:szCs w:val="24"/>
        </w:rPr>
        <w:t>34 CFR, Section 99.7(a)(2)(ii)</w:t>
      </w:r>
      <w:r w:rsidRPr="009F7AE7">
        <w:rPr>
          <w:rFonts w:ascii="Arial" w:eastAsia="Times New Roman" w:hAnsi="Arial" w:cs="Arial"/>
          <w:sz w:val="24"/>
          <w:szCs w:val="24"/>
        </w:rPr>
        <w:t xml:space="preserve"> (1974).</w:t>
      </w:r>
    </w:p>
    <w:p w14:paraId="3C199EDA" w14:textId="77777777" w:rsidR="00C23F05" w:rsidRPr="009F7AE7" w:rsidRDefault="00C23F05" w:rsidP="00902934">
      <w:pPr>
        <w:pStyle w:val="ListParagraph"/>
        <w:jc w:val="both"/>
        <w:rPr>
          <w:rFonts w:ascii="Arial" w:eastAsia="Times New Roman" w:hAnsi="Arial" w:cs="Arial"/>
          <w:sz w:val="24"/>
          <w:szCs w:val="24"/>
        </w:rPr>
      </w:pPr>
    </w:p>
    <w:p w14:paraId="3DEFDFB9" w14:textId="423EB18D" w:rsidR="00C23F05" w:rsidRPr="009F7AE7" w:rsidRDefault="00C23F05" w:rsidP="003D3236">
      <w:pPr>
        <w:pStyle w:val="ListParagraph"/>
        <w:numPr>
          <w:ilvl w:val="0"/>
          <w:numId w:val="27"/>
        </w:numPr>
        <w:jc w:val="both"/>
        <w:rPr>
          <w:rFonts w:ascii="Arial" w:hAnsi="Arial" w:cs="Arial"/>
          <w:sz w:val="24"/>
          <w:szCs w:val="24"/>
        </w:rPr>
      </w:pPr>
      <w:r w:rsidRPr="009F7AE7">
        <w:rPr>
          <w:rFonts w:ascii="Arial" w:hAnsi="Arial" w:cs="Arial"/>
          <w:sz w:val="24"/>
          <w:szCs w:val="24"/>
        </w:rPr>
        <w:t>Powell v</w:t>
      </w:r>
      <w:r w:rsidR="00837CCA" w:rsidRPr="009F7AE7">
        <w:rPr>
          <w:rFonts w:ascii="Arial" w:hAnsi="Arial" w:cs="Arial"/>
          <w:sz w:val="24"/>
          <w:szCs w:val="24"/>
        </w:rPr>
        <w:t>s</w:t>
      </w:r>
      <w:r w:rsidRPr="009F7AE7">
        <w:rPr>
          <w:rFonts w:ascii="Arial" w:hAnsi="Arial" w:cs="Arial"/>
          <w:sz w:val="24"/>
          <w:szCs w:val="24"/>
        </w:rPr>
        <w:t xml:space="preserve">. </w:t>
      </w:r>
      <w:proofErr w:type="spellStart"/>
      <w:r w:rsidRPr="009F7AE7">
        <w:rPr>
          <w:rFonts w:ascii="Arial" w:hAnsi="Arial" w:cs="Arial"/>
          <w:sz w:val="24"/>
          <w:szCs w:val="24"/>
        </w:rPr>
        <w:t>Schriver</w:t>
      </w:r>
      <w:proofErr w:type="spellEnd"/>
      <w:r w:rsidRPr="009F7AE7">
        <w:rPr>
          <w:rFonts w:ascii="Arial" w:hAnsi="Arial" w:cs="Arial"/>
          <w:sz w:val="24"/>
          <w:szCs w:val="24"/>
        </w:rPr>
        <w:t xml:space="preserve">, 175 F.3d, 107, 111 (1999). </w:t>
      </w:r>
    </w:p>
    <w:p w14:paraId="36669479" w14:textId="77777777" w:rsidR="00C23F05" w:rsidRPr="009F7AE7" w:rsidRDefault="00C23F05" w:rsidP="00902934">
      <w:pPr>
        <w:pStyle w:val="ListParagraph"/>
        <w:jc w:val="both"/>
        <w:rPr>
          <w:rFonts w:ascii="Arial" w:hAnsi="Arial" w:cs="Arial"/>
          <w:sz w:val="24"/>
          <w:szCs w:val="24"/>
        </w:rPr>
      </w:pPr>
    </w:p>
    <w:p w14:paraId="185ABEC0" w14:textId="2E45AE5B" w:rsidR="00C23F05" w:rsidRPr="009F7AE7" w:rsidRDefault="00C23F05" w:rsidP="003D3236">
      <w:pPr>
        <w:pStyle w:val="ListParagraph"/>
        <w:numPr>
          <w:ilvl w:val="0"/>
          <w:numId w:val="27"/>
        </w:numPr>
        <w:jc w:val="both"/>
        <w:rPr>
          <w:rFonts w:ascii="Arial" w:hAnsi="Arial" w:cs="Arial"/>
          <w:sz w:val="24"/>
          <w:szCs w:val="24"/>
        </w:rPr>
      </w:pPr>
      <w:r w:rsidRPr="009F7AE7">
        <w:rPr>
          <w:rFonts w:ascii="Arial" w:hAnsi="Arial" w:cs="Arial"/>
          <w:sz w:val="24"/>
          <w:szCs w:val="24"/>
        </w:rPr>
        <w:t>Price Waterhouse v</w:t>
      </w:r>
      <w:r w:rsidR="00837CCA" w:rsidRPr="009F7AE7">
        <w:rPr>
          <w:rFonts w:ascii="Arial" w:hAnsi="Arial" w:cs="Arial"/>
          <w:sz w:val="24"/>
          <w:szCs w:val="24"/>
        </w:rPr>
        <w:t>s</w:t>
      </w:r>
      <w:r w:rsidRPr="009F7AE7">
        <w:rPr>
          <w:rFonts w:ascii="Arial" w:hAnsi="Arial" w:cs="Arial"/>
          <w:sz w:val="24"/>
          <w:szCs w:val="24"/>
        </w:rPr>
        <w:t>. Hopkins, 490 U.S. 228 (1989).</w:t>
      </w:r>
    </w:p>
    <w:p w14:paraId="6C548897" w14:textId="77777777" w:rsidR="00C23F05" w:rsidRPr="009F7AE7" w:rsidRDefault="00C23F05" w:rsidP="00902934">
      <w:pPr>
        <w:pStyle w:val="ListParagraph"/>
        <w:ind w:left="360" w:right="90"/>
        <w:jc w:val="both"/>
        <w:rPr>
          <w:rFonts w:ascii="Arial" w:eastAsia="Times New Roman" w:hAnsi="Arial" w:cs="Arial"/>
          <w:sz w:val="24"/>
          <w:szCs w:val="24"/>
          <w:u w:val="single"/>
        </w:rPr>
      </w:pPr>
    </w:p>
    <w:p w14:paraId="0208F595" w14:textId="2C6DA23D" w:rsidR="00C23F05" w:rsidRPr="009F7AE7" w:rsidRDefault="00C23F05" w:rsidP="003D3236">
      <w:pPr>
        <w:pStyle w:val="ListParagraph"/>
        <w:numPr>
          <w:ilvl w:val="0"/>
          <w:numId w:val="27"/>
        </w:numPr>
        <w:ind w:right="90"/>
        <w:jc w:val="both"/>
        <w:rPr>
          <w:rFonts w:ascii="Arial" w:eastAsia="Times New Roman" w:hAnsi="Arial" w:cs="Arial"/>
          <w:sz w:val="24"/>
          <w:szCs w:val="24"/>
          <w:u w:val="single"/>
        </w:rPr>
      </w:pPr>
      <w:r w:rsidRPr="009F7AE7">
        <w:rPr>
          <w:rFonts w:ascii="Arial" w:eastAsia="Times New Roman" w:hAnsi="Arial" w:cs="Arial"/>
          <w:b/>
          <w:bCs/>
          <w:i/>
          <w:iCs/>
          <w:sz w:val="24"/>
          <w:szCs w:val="24"/>
        </w:rPr>
        <w:t>National Collegiate Athletic Association Office of Inclusion.</w:t>
      </w:r>
      <w:r w:rsidRPr="009F7AE7">
        <w:rPr>
          <w:rFonts w:ascii="Arial" w:eastAsia="Times New Roman" w:hAnsi="Arial" w:cs="Arial"/>
          <w:sz w:val="24"/>
          <w:szCs w:val="24"/>
        </w:rPr>
        <w:t xml:space="preserve"> NCAA Inclusion of Transgender Student-Athletes. </w:t>
      </w:r>
      <w:r w:rsidR="008B3FA5" w:rsidRPr="009F7AE7">
        <w:rPr>
          <w:rFonts w:ascii="Arial" w:eastAsia="Times New Roman" w:hAnsi="Arial" w:cs="Arial"/>
          <w:sz w:val="24"/>
          <w:szCs w:val="24"/>
        </w:rPr>
        <w:t xml:space="preserve">(Online, August 2011). </w:t>
      </w:r>
      <w:r w:rsidR="00464BF4" w:rsidRPr="009F7AE7">
        <w:rPr>
          <w:rFonts w:ascii="Arial" w:eastAsia="Times New Roman" w:hAnsi="Arial" w:cs="Arial"/>
          <w:sz w:val="24"/>
          <w:szCs w:val="24"/>
        </w:rPr>
        <w:t xml:space="preserve">www.ncaa.org/sites/ </w:t>
      </w:r>
      <w:r w:rsidRPr="009F7AE7">
        <w:rPr>
          <w:rFonts w:ascii="Arial" w:eastAsia="Times New Roman" w:hAnsi="Arial" w:cs="Arial"/>
          <w:sz w:val="24"/>
          <w:szCs w:val="24"/>
        </w:rPr>
        <w:t>default/files/Transgender_Handbook_2011_Final.pdf</w:t>
      </w:r>
    </w:p>
    <w:p w14:paraId="2CC1F7D2" w14:textId="77777777" w:rsidR="00C23F05" w:rsidRPr="009F7AE7" w:rsidRDefault="00C23F05" w:rsidP="00902934">
      <w:pPr>
        <w:pStyle w:val="ListParagraph"/>
        <w:jc w:val="both"/>
        <w:rPr>
          <w:rStyle w:val="Hyperlink"/>
          <w:rFonts w:ascii="Arial" w:eastAsia="Times New Roman" w:hAnsi="Arial" w:cs="Arial"/>
          <w:color w:val="auto"/>
          <w:sz w:val="24"/>
          <w:szCs w:val="24"/>
        </w:rPr>
      </w:pPr>
    </w:p>
    <w:p w14:paraId="284D10F4" w14:textId="335DB187" w:rsidR="00C23F05" w:rsidRPr="009F7AE7" w:rsidRDefault="00C23F05" w:rsidP="003D3236">
      <w:pPr>
        <w:pStyle w:val="ListParagraph"/>
        <w:numPr>
          <w:ilvl w:val="0"/>
          <w:numId w:val="27"/>
        </w:numPr>
        <w:jc w:val="both"/>
        <w:rPr>
          <w:rStyle w:val="Hyperlink"/>
          <w:rFonts w:ascii="Arial" w:eastAsia="Times New Roman" w:hAnsi="Arial" w:cs="Arial"/>
          <w:color w:val="auto"/>
          <w:sz w:val="24"/>
          <w:szCs w:val="24"/>
        </w:rPr>
      </w:pPr>
      <w:proofErr w:type="spellStart"/>
      <w:r w:rsidRPr="009F7AE7">
        <w:rPr>
          <w:rFonts w:ascii="Arial" w:eastAsia="Times New Roman" w:hAnsi="Arial" w:cs="Arial"/>
          <w:sz w:val="24"/>
          <w:szCs w:val="24"/>
        </w:rPr>
        <w:t>Brassil</w:t>
      </w:r>
      <w:proofErr w:type="spellEnd"/>
      <w:r w:rsidR="00FE6BDB" w:rsidRPr="009F7AE7">
        <w:rPr>
          <w:rFonts w:ascii="Arial" w:eastAsia="Times New Roman" w:hAnsi="Arial" w:cs="Arial"/>
          <w:sz w:val="24"/>
          <w:szCs w:val="24"/>
        </w:rPr>
        <w:t xml:space="preserve"> </w:t>
      </w:r>
      <w:r w:rsidRPr="009F7AE7">
        <w:rPr>
          <w:rFonts w:ascii="Arial" w:eastAsia="Times New Roman" w:hAnsi="Arial" w:cs="Arial"/>
          <w:sz w:val="24"/>
          <w:szCs w:val="24"/>
        </w:rPr>
        <w:t>GR</w:t>
      </w:r>
      <w:r w:rsidR="00FE6BDB" w:rsidRPr="009F7AE7">
        <w:rPr>
          <w:rFonts w:ascii="Arial" w:eastAsia="Times New Roman" w:hAnsi="Arial" w:cs="Arial"/>
          <w:sz w:val="24"/>
          <w:szCs w:val="24"/>
        </w:rPr>
        <w:t>,</w:t>
      </w:r>
      <w:r w:rsidRPr="009F7AE7">
        <w:rPr>
          <w:rFonts w:ascii="Arial" w:eastAsia="Times New Roman" w:hAnsi="Arial" w:cs="Arial"/>
          <w:sz w:val="24"/>
          <w:szCs w:val="24"/>
        </w:rPr>
        <w:t xml:space="preserve"> Longman J. Who should compete in women’s sports? There are ‘two almost irreconcilable </w:t>
      </w:r>
      <w:proofErr w:type="gramStart"/>
      <w:r w:rsidRPr="009F7AE7">
        <w:rPr>
          <w:rFonts w:ascii="Arial" w:eastAsia="Times New Roman" w:hAnsi="Arial" w:cs="Arial"/>
          <w:sz w:val="24"/>
          <w:szCs w:val="24"/>
        </w:rPr>
        <w:t>positions’</w:t>
      </w:r>
      <w:proofErr w:type="gramEnd"/>
      <w:r w:rsidRPr="009F7AE7">
        <w:rPr>
          <w:rFonts w:ascii="Arial" w:eastAsia="Times New Roman" w:hAnsi="Arial" w:cs="Arial"/>
          <w:sz w:val="24"/>
          <w:szCs w:val="24"/>
        </w:rPr>
        <w:t xml:space="preserve">. </w:t>
      </w:r>
      <w:r w:rsidRPr="009F7AE7">
        <w:rPr>
          <w:rFonts w:ascii="Arial" w:eastAsia="Times New Roman" w:hAnsi="Arial" w:cs="Arial"/>
          <w:b/>
          <w:bCs/>
          <w:i/>
          <w:sz w:val="24"/>
          <w:szCs w:val="24"/>
        </w:rPr>
        <w:t>The New York Times.</w:t>
      </w:r>
      <w:r w:rsidRPr="009F7AE7">
        <w:rPr>
          <w:rFonts w:ascii="Arial" w:eastAsia="Times New Roman" w:hAnsi="Arial" w:cs="Arial"/>
          <w:sz w:val="24"/>
          <w:szCs w:val="24"/>
        </w:rPr>
        <w:t xml:space="preserve"> </w:t>
      </w:r>
      <w:r w:rsidR="00FE6BDB" w:rsidRPr="009F7AE7">
        <w:rPr>
          <w:rFonts w:ascii="Arial" w:eastAsia="Times New Roman" w:hAnsi="Arial" w:cs="Arial"/>
          <w:sz w:val="24"/>
          <w:szCs w:val="24"/>
        </w:rPr>
        <w:t>(Online</w:t>
      </w:r>
      <w:r w:rsidR="008B3FA5" w:rsidRPr="009F7AE7">
        <w:rPr>
          <w:rFonts w:ascii="Arial" w:eastAsia="Times New Roman" w:hAnsi="Arial" w:cs="Arial"/>
          <w:sz w:val="24"/>
          <w:szCs w:val="24"/>
        </w:rPr>
        <w:t>, August 18, 2020</w:t>
      </w:r>
      <w:r w:rsidR="00FE6BDB" w:rsidRPr="009F7AE7">
        <w:rPr>
          <w:rFonts w:ascii="Arial" w:eastAsia="Times New Roman" w:hAnsi="Arial" w:cs="Arial"/>
          <w:sz w:val="24"/>
          <w:szCs w:val="24"/>
        </w:rPr>
        <w:t xml:space="preserve">). </w:t>
      </w:r>
      <w:r w:rsidR="008B3FA5" w:rsidRPr="009F7AE7">
        <w:rPr>
          <w:rFonts w:ascii="Arial" w:eastAsia="Times New Roman" w:hAnsi="Arial" w:cs="Arial"/>
          <w:sz w:val="24"/>
          <w:szCs w:val="24"/>
        </w:rPr>
        <w:t>https://www.nytimes.com/2020/08/18/sports/transgender-athl</w:t>
      </w:r>
      <w:r w:rsidRPr="009F7AE7">
        <w:rPr>
          <w:rFonts w:ascii="Arial" w:eastAsia="Times New Roman" w:hAnsi="Arial" w:cs="Arial"/>
          <w:sz w:val="24"/>
          <w:szCs w:val="24"/>
        </w:rPr>
        <w:t>ete</w:t>
      </w:r>
      <w:r w:rsidR="008B3FA5" w:rsidRPr="009F7AE7">
        <w:rPr>
          <w:rFonts w:ascii="Arial" w:eastAsia="Times New Roman" w:hAnsi="Arial" w:cs="Arial"/>
          <w:sz w:val="24"/>
          <w:szCs w:val="24"/>
        </w:rPr>
        <w:t xml:space="preserve"> </w:t>
      </w:r>
      <w:r w:rsidRPr="009F7AE7">
        <w:rPr>
          <w:rFonts w:ascii="Arial" w:eastAsia="Times New Roman" w:hAnsi="Arial" w:cs="Arial"/>
          <w:sz w:val="24"/>
          <w:szCs w:val="24"/>
        </w:rPr>
        <w:t>s-womens-sports-idaho.html</w:t>
      </w:r>
    </w:p>
    <w:p w14:paraId="2F902D12" w14:textId="77777777" w:rsidR="00C23F05" w:rsidRPr="009F7AE7" w:rsidRDefault="00C23F05" w:rsidP="00902934">
      <w:pPr>
        <w:pStyle w:val="ListParagraph"/>
        <w:jc w:val="both"/>
        <w:rPr>
          <w:rStyle w:val="Hyperlink"/>
          <w:rFonts w:ascii="Arial" w:eastAsia="Times New Roman" w:hAnsi="Arial" w:cs="Arial"/>
          <w:color w:val="auto"/>
          <w:sz w:val="24"/>
          <w:szCs w:val="24"/>
        </w:rPr>
      </w:pPr>
    </w:p>
    <w:p w14:paraId="491DC981" w14:textId="359C2E46" w:rsidR="00C23F05" w:rsidRPr="009F7AE7" w:rsidRDefault="00C23F05" w:rsidP="003D3236">
      <w:pPr>
        <w:pStyle w:val="ListParagraph"/>
        <w:numPr>
          <w:ilvl w:val="0"/>
          <w:numId w:val="27"/>
        </w:numPr>
        <w:ind w:right="90"/>
        <w:jc w:val="both"/>
        <w:rPr>
          <w:rFonts w:ascii="Arial" w:eastAsia="Times New Roman" w:hAnsi="Arial" w:cs="Arial"/>
          <w:sz w:val="24"/>
          <w:szCs w:val="24"/>
        </w:rPr>
      </w:pPr>
      <w:r w:rsidRPr="009F7AE7">
        <w:rPr>
          <w:rStyle w:val="Hyperlink"/>
          <w:rFonts w:ascii="Arial" w:eastAsia="Times New Roman" w:hAnsi="Arial" w:cs="Arial"/>
          <w:color w:val="auto"/>
          <w:sz w:val="24"/>
          <w:szCs w:val="24"/>
          <w:u w:val="none"/>
        </w:rPr>
        <w:t>Lee E. The relationship between the NCAA and transgender athletics.</w:t>
      </w:r>
      <w:r w:rsidRPr="009F7AE7">
        <w:rPr>
          <w:rFonts w:ascii="Arial" w:eastAsia="Times New Roman" w:hAnsi="Arial" w:cs="Arial"/>
          <w:sz w:val="24"/>
          <w:szCs w:val="24"/>
        </w:rPr>
        <w:t xml:space="preserve"> </w:t>
      </w:r>
      <w:r w:rsidRPr="009F7AE7">
        <w:rPr>
          <w:rFonts w:ascii="Arial" w:eastAsia="Times New Roman" w:hAnsi="Arial" w:cs="Arial"/>
          <w:b/>
          <w:bCs/>
          <w:i/>
          <w:sz w:val="24"/>
          <w:szCs w:val="24"/>
        </w:rPr>
        <w:t>The Rocky Mountain Collegian.</w:t>
      </w:r>
      <w:r w:rsidRPr="009F7AE7">
        <w:rPr>
          <w:rFonts w:ascii="Arial" w:eastAsia="Times New Roman" w:hAnsi="Arial" w:cs="Arial"/>
          <w:sz w:val="24"/>
          <w:szCs w:val="24"/>
        </w:rPr>
        <w:t xml:space="preserve"> </w:t>
      </w:r>
      <w:r w:rsidR="003626F0" w:rsidRPr="009F7AE7">
        <w:rPr>
          <w:rFonts w:ascii="Arial" w:eastAsia="Times New Roman" w:hAnsi="Arial" w:cs="Arial"/>
          <w:sz w:val="24"/>
          <w:szCs w:val="24"/>
        </w:rPr>
        <w:t xml:space="preserve">2020. </w:t>
      </w:r>
      <w:r w:rsidR="00464BF4" w:rsidRPr="009F7AE7">
        <w:rPr>
          <w:rFonts w:ascii="Arial" w:eastAsia="Times New Roman" w:hAnsi="Arial" w:cs="Arial"/>
          <w:sz w:val="24"/>
          <w:szCs w:val="24"/>
        </w:rPr>
        <w:t xml:space="preserve">(Online). </w:t>
      </w:r>
      <w:r w:rsidR="003626F0" w:rsidRPr="009F7AE7">
        <w:rPr>
          <w:rFonts w:ascii="Arial" w:eastAsia="Times New Roman" w:hAnsi="Arial" w:cs="Arial"/>
          <w:sz w:val="24"/>
          <w:szCs w:val="24"/>
        </w:rPr>
        <w:t xml:space="preserve">https://collegian.com/2020/11/ </w:t>
      </w:r>
      <w:r w:rsidRPr="009F7AE7">
        <w:rPr>
          <w:rFonts w:ascii="Arial" w:eastAsia="Times New Roman" w:hAnsi="Arial" w:cs="Arial"/>
          <w:sz w:val="24"/>
          <w:szCs w:val="24"/>
        </w:rPr>
        <w:t>category-sports-how-the-ncaa-regulates-collegiate-transgender-athletes/</w:t>
      </w:r>
    </w:p>
    <w:p w14:paraId="1C9B6DE4" w14:textId="77777777" w:rsidR="00902934" w:rsidRPr="009F7AE7" w:rsidRDefault="00902934" w:rsidP="00902934">
      <w:pPr>
        <w:pStyle w:val="ListParagraph"/>
        <w:ind w:left="360" w:right="90" w:firstLine="0"/>
        <w:jc w:val="both"/>
        <w:rPr>
          <w:rFonts w:ascii="Arial" w:eastAsia="Times New Roman" w:hAnsi="Arial" w:cs="Arial"/>
          <w:sz w:val="24"/>
          <w:szCs w:val="24"/>
        </w:rPr>
      </w:pPr>
    </w:p>
    <w:p w14:paraId="16C83C06" w14:textId="1B23A82D" w:rsidR="00C23F05" w:rsidRPr="009F7AE7" w:rsidRDefault="00C23F05" w:rsidP="003D3236">
      <w:pPr>
        <w:pStyle w:val="ListParagraph"/>
        <w:numPr>
          <w:ilvl w:val="0"/>
          <w:numId w:val="27"/>
        </w:numPr>
        <w:jc w:val="both"/>
        <w:rPr>
          <w:rFonts w:ascii="Arial" w:hAnsi="Arial" w:cs="Arial"/>
          <w:sz w:val="24"/>
          <w:szCs w:val="24"/>
        </w:rPr>
      </w:pPr>
      <w:proofErr w:type="spellStart"/>
      <w:r w:rsidRPr="009F7AE7">
        <w:rPr>
          <w:rFonts w:ascii="Arial" w:hAnsi="Arial" w:cs="Arial"/>
          <w:sz w:val="24"/>
          <w:szCs w:val="24"/>
          <w:shd w:val="clear" w:color="auto" w:fill="FFFFFF"/>
        </w:rPr>
        <w:lastRenderedPageBreak/>
        <w:t>Handelsman</w:t>
      </w:r>
      <w:proofErr w:type="spellEnd"/>
      <w:r w:rsidRPr="009F7AE7">
        <w:rPr>
          <w:rFonts w:ascii="Arial" w:hAnsi="Arial" w:cs="Arial"/>
          <w:sz w:val="24"/>
          <w:szCs w:val="24"/>
          <w:shd w:val="clear" w:color="auto" w:fill="FFFFFF"/>
        </w:rPr>
        <w:t xml:space="preserve"> DJ, Hirschberg AL, </w:t>
      </w:r>
      <w:proofErr w:type="spellStart"/>
      <w:r w:rsidRPr="009F7AE7">
        <w:rPr>
          <w:rFonts w:ascii="Arial" w:hAnsi="Arial" w:cs="Arial"/>
          <w:sz w:val="24"/>
          <w:szCs w:val="24"/>
          <w:shd w:val="clear" w:color="auto" w:fill="FFFFFF"/>
        </w:rPr>
        <w:t>Bermon</w:t>
      </w:r>
      <w:proofErr w:type="spellEnd"/>
      <w:r w:rsidRPr="009F7AE7">
        <w:rPr>
          <w:rFonts w:ascii="Arial" w:hAnsi="Arial" w:cs="Arial"/>
          <w:sz w:val="24"/>
          <w:szCs w:val="24"/>
          <w:shd w:val="clear" w:color="auto" w:fill="FFFFFF"/>
        </w:rPr>
        <w:t xml:space="preserve"> S. Circulating testosterone as the hormonal basis of sex differences in athletic performance. </w:t>
      </w:r>
      <w:r w:rsidRPr="009F7AE7">
        <w:rPr>
          <w:rFonts w:ascii="Arial" w:hAnsi="Arial" w:cs="Arial"/>
          <w:b/>
          <w:bCs/>
          <w:i/>
          <w:iCs/>
          <w:sz w:val="24"/>
          <w:szCs w:val="24"/>
          <w:shd w:val="clear" w:color="auto" w:fill="FFFFFF"/>
        </w:rPr>
        <w:t>Endocrine Reviews</w:t>
      </w:r>
      <w:r w:rsidR="003626F0" w:rsidRPr="009F7AE7">
        <w:rPr>
          <w:rFonts w:ascii="Arial" w:hAnsi="Arial" w:cs="Arial"/>
          <w:b/>
          <w:bCs/>
          <w:sz w:val="24"/>
          <w:szCs w:val="24"/>
          <w:shd w:val="clear" w:color="auto" w:fill="FFFFFF"/>
        </w:rPr>
        <w:t>.</w:t>
      </w:r>
      <w:r w:rsidRPr="009F7AE7">
        <w:rPr>
          <w:rFonts w:ascii="Arial" w:hAnsi="Arial" w:cs="Arial"/>
          <w:b/>
          <w:bCs/>
          <w:sz w:val="24"/>
          <w:szCs w:val="24"/>
          <w:shd w:val="clear" w:color="auto" w:fill="FFFFFF"/>
        </w:rPr>
        <w:t> </w:t>
      </w:r>
      <w:r w:rsidR="003626F0" w:rsidRPr="009F7AE7">
        <w:rPr>
          <w:rFonts w:ascii="Arial" w:hAnsi="Arial" w:cs="Arial"/>
          <w:sz w:val="24"/>
          <w:szCs w:val="24"/>
          <w:shd w:val="clear" w:color="auto" w:fill="FFFFFF"/>
        </w:rPr>
        <w:t>2018;</w:t>
      </w:r>
      <w:r w:rsidRPr="009F7AE7">
        <w:rPr>
          <w:rFonts w:ascii="Arial" w:hAnsi="Arial" w:cs="Arial"/>
          <w:sz w:val="24"/>
          <w:szCs w:val="24"/>
          <w:shd w:val="clear" w:color="auto" w:fill="FFFFFF"/>
        </w:rPr>
        <w:t>39(5)</w:t>
      </w:r>
      <w:r w:rsidR="003626F0" w:rsidRPr="009F7AE7">
        <w:rPr>
          <w:rFonts w:ascii="Arial" w:hAnsi="Arial" w:cs="Arial"/>
          <w:sz w:val="24"/>
          <w:szCs w:val="24"/>
          <w:shd w:val="clear" w:color="auto" w:fill="FFFFFF"/>
        </w:rPr>
        <w:t>:</w:t>
      </w:r>
      <w:r w:rsidRPr="009F7AE7">
        <w:rPr>
          <w:rFonts w:ascii="Arial" w:hAnsi="Arial" w:cs="Arial"/>
          <w:sz w:val="24"/>
          <w:szCs w:val="24"/>
          <w:shd w:val="clear" w:color="auto" w:fill="FFFFFF"/>
        </w:rPr>
        <w:t>803</w:t>
      </w:r>
      <w:r w:rsidR="003626F0" w:rsidRPr="009F7AE7">
        <w:rPr>
          <w:rFonts w:ascii="Arial" w:hAnsi="Arial" w:cs="Arial"/>
          <w:sz w:val="24"/>
          <w:szCs w:val="24"/>
          <w:shd w:val="clear" w:color="auto" w:fill="FFFFFF"/>
        </w:rPr>
        <w:t>-</w:t>
      </w:r>
      <w:r w:rsidRPr="009F7AE7">
        <w:rPr>
          <w:rFonts w:ascii="Arial" w:hAnsi="Arial" w:cs="Arial"/>
          <w:sz w:val="24"/>
          <w:szCs w:val="24"/>
          <w:shd w:val="clear" w:color="auto" w:fill="FFFFFF"/>
        </w:rPr>
        <w:t>829.</w:t>
      </w:r>
    </w:p>
    <w:p w14:paraId="1AB363B6" w14:textId="77777777" w:rsidR="00C23F05" w:rsidRPr="009F7AE7" w:rsidRDefault="00C23F05" w:rsidP="00902934">
      <w:pPr>
        <w:pStyle w:val="ListParagraph"/>
        <w:ind w:left="360"/>
        <w:jc w:val="both"/>
        <w:rPr>
          <w:rFonts w:ascii="Arial" w:hAnsi="Arial" w:cs="Arial"/>
          <w:sz w:val="24"/>
          <w:szCs w:val="24"/>
        </w:rPr>
      </w:pPr>
    </w:p>
    <w:p w14:paraId="6F04F310" w14:textId="0B018E7C" w:rsidR="00C23F05" w:rsidRPr="009F7AE7" w:rsidRDefault="00C23F05" w:rsidP="003D3236">
      <w:pPr>
        <w:pStyle w:val="ListParagraph"/>
        <w:numPr>
          <w:ilvl w:val="0"/>
          <w:numId w:val="27"/>
        </w:numPr>
        <w:jc w:val="both"/>
        <w:rPr>
          <w:rFonts w:ascii="Arial" w:hAnsi="Arial" w:cs="Arial"/>
          <w:sz w:val="24"/>
          <w:szCs w:val="24"/>
        </w:rPr>
      </w:pPr>
      <w:r w:rsidRPr="009F7AE7">
        <w:rPr>
          <w:rFonts w:ascii="Arial" w:hAnsi="Arial" w:cs="Arial"/>
          <w:sz w:val="24"/>
          <w:szCs w:val="24"/>
        </w:rPr>
        <w:t xml:space="preserve">Wright GA. (2015). Structure and function of muscle and nervous system. </w:t>
      </w:r>
      <w:r w:rsidRPr="009F7AE7">
        <w:rPr>
          <w:rFonts w:ascii="Arial" w:hAnsi="Arial" w:cs="Arial"/>
          <w:sz w:val="24"/>
          <w:szCs w:val="24"/>
          <w:u w:val="single"/>
        </w:rPr>
        <w:t>In</w:t>
      </w:r>
      <w:r w:rsidR="003626F0" w:rsidRPr="009F7AE7">
        <w:rPr>
          <w:rFonts w:ascii="Arial" w:hAnsi="Arial" w:cs="Arial"/>
          <w:sz w:val="24"/>
          <w:szCs w:val="24"/>
        </w:rPr>
        <w:t>:</w:t>
      </w:r>
      <w:r w:rsidRPr="009F7AE7">
        <w:rPr>
          <w:rFonts w:ascii="Arial" w:hAnsi="Arial" w:cs="Arial"/>
          <w:sz w:val="24"/>
          <w:szCs w:val="24"/>
        </w:rPr>
        <w:t xml:space="preserve"> </w:t>
      </w:r>
      <w:proofErr w:type="spellStart"/>
      <w:r w:rsidRPr="009F7AE7">
        <w:rPr>
          <w:rFonts w:ascii="Arial" w:hAnsi="Arial" w:cs="Arial"/>
          <w:sz w:val="24"/>
          <w:szCs w:val="24"/>
        </w:rPr>
        <w:t>Porcari</w:t>
      </w:r>
      <w:proofErr w:type="spellEnd"/>
      <w:r w:rsidRPr="009F7AE7">
        <w:rPr>
          <w:rFonts w:ascii="Arial" w:hAnsi="Arial" w:cs="Arial"/>
          <w:sz w:val="24"/>
          <w:szCs w:val="24"/>
        </w:rPr>
        <w:t xml:space="preserve"> J, Bryant</w:t>
      </w:r>
      <w:r w:rsidR="003626F0" w:rsidRPr="009F7AE7">
        <w:rPr>
          <w:rFonts w:ascii="Arial" w:hAnsi="Arial" w:cs="Arial"/>
          <w:sz w:val="24"/>
          <w:szCs w:val="24"/>
        </w:rPr>
        <w:t xml:space="preserve"> </w:t>
      </w:r>
      <w:r w:rsidRPr="009F7AE7">
        <w:rPr>
          <w:rFonts w:ascii="Arial" w:hAnsi="Arial" w:cs="Arial"/>
          <w:sz w:val="24"/>
          <w:szCs w:val="24"/>
        </w:rPr>
        <w:t xml:space="preserve">C, </w:t>
      </w:r>
      <w:proofErr w:type="spellStart"/>
      <w:r w:rsidRPr="009F7AE7">
        <w:rPr>
          <w:rFonts w:ascii="Arial" w:hAnsi="Arial" w:cs="Arial"/>
          <w:sz w:val="24"/>
          <w:szCs w:val="24"/>
        </w:rPr>
        <w:t>Camana</w:t>
      </w:r>
      <w:proofErr w:type="spellEnd"/>
      <w:r w:rsidRPr="009F7AE7">
        <w:rPr>
          <w:rFonts w:ascii="Arial" w:hAnsi="Arial" w:cs="Arial"/>
          <w:sz w:val="24"/>
          <w:szCs w:val="24"/>
        </w:rPr>
        <w:t xml:space="preserve"> F. (Ed</w:t>
      </w:r>
      <w:r w:rsidR="003626F0" w:rsidRPr="009F7AE7">
        <w:rPr>
          <w:rFonts w:ascii="Arial" w:hAnsi="Arial" w:cs="Arial"/>
          <w:sz w:val="24"/>
          <w:szCs w:val="24"/>
        </w:rPr>
        <w:t>itor</w:t>
      </w:r>
      <w:r w:rsidRPr="009F7AE7">
        <w:rPr>
          <w:rFonts w:ascii="Arial" w:hAnsi="Arial" w:cs="Arial"/>
          <w:sz w:val="24"/>
          <w:szCs w:val="24"/>
        </w:rPr>
        <w:t>s)</w:t>
      </w:r>
      <w:r w:rsidR="003626F0" w:rsidRPr="009F7AE7">
        <w:rPr>
          <w:rFonts w:ascii="Arial" w:hAnsi="Arial" w:cs="Arial"/>
          <w:sz w:val="24"/>
          <w:szCs w:val="24"/>
        </w:rPr>
        <w:t>.</w:t>
      </w:r>
      <w:r w:rsidRPr="009F7AE7">
        <w:rPr>
          <w:rFonts w:ascii="Arial" w:hAnsi="Arial" w:cs="Arial"/>
          <w:sz w:val="24"/>
          <w:szCs w:val="24"/>
        </w:rPr>
        <w:t xml:space="preserve"> </w:t>
      </w:r>
      <w:r w:rsidRPr="009F7AE7">
        <w:rPr>
          <w:rFonts w:ascii="Arial" w:hAnsi="Arial" w:cs="Arial"/>
          <w:b/>
          <w:bCs/>
          <w:i/>
          <w:sz w:val="24"/>
          <w:szCs w:val="24"/>
        </w:rPr>
        <w:t>Exercise Physiology</w:t>
      </w:r>
      <w:r w:rsidR="003626F0" w:rsidRPr="009F7AE7">
        <w:rPr>
          <w:rFonts w:ascii="Arial" w:hAnsi="Arial" w:cs="Arial"/>
          <w:b/>
          <w:bCs/>
          <w:i/>
          <w:sz w:val="24"/>
          <w:szCs w:val="24"/>
        </w:rPr>
        <w:t>.</w:t>
      </w:r>
      <w:r w:rsidRPr="009F7AE7">
        <w:rPr>
          <w:rFonts w:ascii="Arial" w:hAnsi="Arial" w:cs="Arial"/>
          <w:sz w:val="24"/>
          <w:szCs w:val="24"/>
        </w:rPr>
        <w:t xml:space="preserve"> </w:t>
      </w:r>
      <w:r w:rsidR="003626F0" w:rsidRPr="009F7AE7">
        <w:rPr>
          <w:rFonts w:ascii="Arial" w:hAnsi="Arial" w:cs="Arial"/>
          <w:sz w:val="24"/>
          <w:szCs w:val="24"/>
        </w:rPr>
        <w:t xml:space="preserve">2015. p. </w:t>
      </w:r>
      <w:r w:rsidRPr="009F7AE7">
        <w:rPr>
          <w:rFonts w:ascii="Arial" w:hAnsi="Arial" w:cs="Arial"/>
          <w:sz w:val="24"/>
          <w:szCs w:val="24"/>
        </w:rPr>
        <w:t>242. F.A. Davis.</w:t>
      </w:r>
    </w:p>
    <w:p w14:paraId="2BEDA4A0" w14:textId="77777777" w:rsidR="00C23F05" w:rsidRPr="009F7AE7" w:rsidRDefault="00C23F05" w:rsidP="00902934">
      <w:pPr>
        <w:pStyle w:val="ListParagraph"/>
        <w:ind w:left="360" w:right="90"/>
        <w:jc w:val="both"/>
        <w:rPr>
          <w:rFonts w:ascii="Arial" w:eastAsia="Times New Roman" w:hAnsi="Arial" w:cs="Arial"/>
          <w:sz w:val="24"/>
          <w:szCs w:val="24"/>
        </w:rPr>
      </w:pPr>
    </w:p>
    <w:p w14:paraId="56D152AF" w14:textId="7453072D" w:rsidR="00C23F05" w:rsidRPr="009F7AE7" w:rsidRDefault="00C23F05" w:rsidP="003D3236">
      <w:pPr>
        <w:pStyle w:val="ListParagraph"/>
        <w:numPr>
          <w:ilvl w:val="0"/>
          <w:numId w:val="27"/>
        </w:numPr>
        <w:ind w:right="90"/>
        <w:jc w:val="both"/>
        <w:rPr>
          <w:rFonts w:ascii="Arial" w:eastAsia="Times New Roman" w:hAnsi="Arial" w:cs="Arial"/>
          <w:sz w:val="24"/>
          <w:szCs w:val="24"/>
        </w:rPr>
      </w:pPr>
      <w:r w:rsidRPr="009F7AE7">
        <w:rPr>
          <w:rFonts w:ascii="Arial" w:eastAsia="Times New Roman" w:hAnsi="Arial" w:cs="Arial"/>
          <w:sz w:val="24"/>
          <w:szCs w:val="24"/>
        </w:rPr>
        <w:t xml:space="preserve">Reeser JC. Gender identity and sport: Is the playing field level? </w:t>
      </w:r>
      <w:r w:rsidRPr="009F7AE7">
        <w:rPr>
          <w:rFonts w:ascii="Arial" w:eastAsia="Times New Roman" w:hAnsi="Arial" w:cs="Arial"/>
          <w:b/>
          <w:bCs/>
          <w:i/>
          <w:sz w:val="24"/>
          <w:szCs w:val="24"/>
        </w:rPr>
        <w:t>British J Sports Med</w:t>
      </w:r>
      <w:r w:rsidRPr="009F7AE7">
        <w:rPr>
          <w:rFonts w:ascii="Arial" w:eastAsia="Times New Roman" w:hAnsi="Arial" w:cs="Arial"/>
          <w:b/>
          <w:bCs/>
          <w:sz w:val="24"/>
          <w:szCs w:val="24"/>
        </w:rPr>
        <w:t>.</w:t>
      </w:r>
      <w:r w:rsidRPr="009F7AE7">
        <w:rPr>
          <w:rFonts w:ascii="Arial" w:eastAsia="Times New Roman" w:hAnsi="Arial" w:cs="Arial"/>
          <w:sz w:val="24"/>
          <w:szCs w:val="24"/>
        </w:rPr>
        <w:t xml:space="preserve"> </w:t>
      </w:r>
      <w:proofErr w:type="gramStart"/>
      <w:r w:rsidR="003626F0" w:rsidRPr="009F7AE7">
        <w:rPr>
          <w:rFonts w:ascii="Arial" w:eastAsia="Times New Roman" w:hAnsi="Arial" w:cs="Arial"/>
          <w:sz w:val="24"/>
          <w:szCs w:val="24"/>
        </w:rPr>
        <w:t>2005;</w:t>
      </w:r>
      <w:r w:rsidRPr="009F7AE7">
        <w:rPr>
          <w:rFonts w:ascii="Arial" w:eastAsia="Times New Roman" w:hAnsi="Arial" w:cs="Arial"/>
          <w:sz w:val="24"/>
          <w:szCs w:val="24"/>
        </w:rPr>
        <w:t>39:695</w:t>
      </w:r>
      <w:proofErr w:type="gramEnd"/>
      <w:r w:rsidRPr="009F7AE7">
        <w:rPr>
          <w:rFonts w:ascii="Arial" w:eastAsia="Times New Roman" w:hAnsi="Arial" w:cs="Arial"/>
          <w:sz w:val="24"/>
          <w:szCs w:val="24"/>
        </w:rPr>
        <w:t xml:space="preserve">-699. </w:t>
      </w:r>
    </w:p>
    <w:p w14:paraId="375DE522" w14:textId="77777777" w:rsidR="00C23F05" w:rsidRPr="009F7AE7" w:rsidRDefault="00C23F05" w:rsidP="00C23F05">
      <w:pPr>
        <w:pStyle w:val="ListParagraph"/>
        <w:ind w:left="360" w:right="90"/>
        <w:rPr>
          <w:rFonts w:ascii="Arial" w:eastAsia="Times New Roman" w:hAnsi="Arial" w:cs="Arial"/>
          <w:bCs/>
          <w:kern w:val="36"/>
          <w:sz w:val="24"/>
          <w:szCs w:val="24"/>
        </w:rPr>
      </w:pPr>
    </w:p>
    <w:p w14:paraId="282C0FDC" w14:textId="7E5FBBF5" w:rsidR="00C23F05" w:rsidRPr="009F7AE7" w:rsidRDefault="00C23F05" w:rsidP="003626F0">
      <w:pPr>
        <w:pStyle w:val="ListParagraph"/>
        <w:numPr>
          <w:ilvl w:val="0"/>
          <w:numId w:val="27"/>
        </w:numPr>
        <w:ind w:right="90"/>
        <w:jc w:val="both"/>
        <w:rPr>
          <w:rFonts w:ascii="Arial" w:eastAsia="Times New Roman" w:hAnsi="Arial" w:cs="Arial"/>
          <w:bCs/>
          <w:kern w:val="36"/>
          <w:sz w:val="24"/>
          <w:szCs w:val="24"/>
        </w:rPr>
      </w:pPr>
      <w:r w:rsidRPr="009F7AE7">
        <w:rPr>
          <w:rFonts w:ascii="Arial" w:hAnsi="Arial" w:cs="Arial"/>
          <w:sz w:val="24"/>
          <w:szCs w:val="24"/>
        </w:rPr>
        <w:t xml:space="preserve">WND Staff. </w:t>
      </w:r>
      <w:r w:rsidRPr="009F7AE7">
        <w:rPr>
          <w:rFonts w:ascii="Arial" w:hAnsi="Arial" w:cs="Arial"/>
          <w:i/>
          <w:sz w:val="24"/>
          <w:szCs w:val="24"/>
        </w:rPr>
        <w:t>Female athletes who were crushed by ‘women who were once men’</w:t>
      </w:r>
      <w:r w:rsidRPr="009F7AE7">
        <w:rPr>
          <w:rFonts w:ascii="Arial" w:hAnsi="Arial" w:cs="Arial"/>
          <w:sz w:val="24"/>
          <w:szCs w:val="24"/>
        </w:rPr>
        <w:t xml:space="preserve">. </w:t>
      </w:r>
      <w:r w:rsidRPr="009F7AE7">
        <w:rPr>
          <w:rFonts w:ascii="Arial" w:hAnsi="Arial" w:cs="Arial"/>
          <w:b/>
          <w:bCs/>
          <w:i/>
          <w:iCs/>
          <w:sz w:val="24"/>
          <w:szCs w:val="24"/>
        </w:rPr>
        <w:t>World News Daily.</w:t>
      </w:r>
      <w:r w:rsidR="00902934" w:rsidRPr="009F7AE7">
        <w:rPr>
          <w:rFonts w:ascii="Arial" w:hAnsi="Arial" w:cs="Arial"/>
          <w:sz w:val="24"/>
          <w:szCs w:val="24"/>
        </w:rPr>
        <w:t xml:space="preserve"> </w:t>
      </w:r>
      <w:r w:rsidR="003626F0" w:rsidRPr="009F7AE7">
        <w:rPr>
          <w:rFonts w:ascii="Arial" w:hAnsi="Arial" w:cs="Arial"/>
          <w:sz w:val="24"/>
          <w:szCs w:val="24"/>
        </w:rPr>
        <w:t>(Online, March 26, 2017). https://www</w:t>
      </w:r>
      <w:r w:rsidRPr="009F7AE7">
        <w:rPr>
          <w:rFonts w:ascii="Arial" w:hAnsi="Arial" w:cs="Arial"/>
          <w:sz w:val="24"/>
          <w:szCs w:val="24"/>
        </w:rPr>
        <w:t>.wnd.com</w:t>
      </w:r>
      <w:r w:rsidR="003626F0" w:rsidRPr="009F7AE7">
        <w:rPr>
          <w:rFonts w:ascii="Arial" w:hAnsi="Arial" w:cs="Arial"/>
          <w:sz w:val="24"/>
          <w:szCs w:val="24"/>
        </w:rPr>
        <w:t xml:space="preserve"> </w:t>
      </w:r>
      <w:r w:rsidRPr="009F7AE7">
        <w:rPr>
          <w:rFonts w:ascii="Arial" w:hAnsi="Arial" w:cs="Arial"/>
          <w:sz w:val="24"/>
          <w:szCs w:val="24"/>
        </w:rPr>
        <w:t>/2017/03/female-athletes-crushed-by-women-who-were-once-men/</w:t>
      </w:r>
      <w:r w:rsidRPr="009F7AE7" w:rsidDel="00067230">
        <w:rPr>
          <w:rFonts w:ascii="Arial" w:eastAsia="Times New Roman" w:hAnsi="Arial" w:cs="Arial"/>
          <w:bCs/>
          <w:kern w:val="36"/>
          <w:sz w:val="24"/>
          <w:szCs w:val="24"/>
        </w:rPr>
        <w:t xml:space="preserve"> </w:t>
      </w:r>
    </w:p>
    <w:p w14:paraId="3D6941D7" w14:textId="77777777" w:rsidR="00C23F05" w:rsidRPr="009F7AE7" w:rsidRDefault="00C23F05" w:rsidP="00C23F05">
      <w:pPr>
        <w:pStyle w:val="ListParagraph"/>
        <w:ind w:left="360"/>
        <w:rPr>
          <w:rFonts w:ascii="Arial" w:eastAsia="Times New Roman" w:hAnsi="Arial" w:cs="Arial"/>
          <w:bCs/>
          <w:kern w:val="36"/>
          <w:sz w:val="24"/>
          <w:szCs w:val="24"/>
        </w:rPr>
      </w:pPr>
    </w:p>
    <w:p w14:paraId="0A0FA38F" w14:textId="3AACCA1B" w:rsidR="00C23F05" w:rsidRPr="009F7AE7" w:rsidRDefault="00C23F05" w:rsidP="003D3236">
      <w:pPr>
        <w:pStyle w:val="ListParagraph"/>
        <w:numPr>
          <w:ilvl w:val="0"/>
          <w:numId w:val="27"/>
        </w:numPr>
        <w:jc w:val="both"/>
        <w:rPr>
          <w:rStyle w:val="Hyperlink"/>
          <w:rFonts w:ascii="Arial" w:eastAsia="Times New Roman" w:hAnsi="Arial" w:cs="Arial"/>
          <w:bCs/>
          <w:color w:val="auto"/>
          <w:kern w:val="36"/>
          <w:sz w:val="24"/>
          <w:szCs w:val="24"/>
        </w:rPr>
      </w:pPr>
      <w:r w:rsidRPr="009F7AE7">
        <w:rPr>
          <w:rFonts w:ascii="Arial" w:eastAsia="Times New Roman" w:hAnsi="Arial" w:cs="Arial"/>
          <w:bCs/>
          <w:kern w:val="36"/>
          <w:sz w:val="24"/>
          <w:szCs w:val="24"/>
        </w:rPr>
        <w:t xml:space="preserve">Roberts TA, Smalley J, </w:t>
      </w:r>
      <w:proofErr w:type="spellStart"/>
      <w:r w:rsidRPr="009F7AE7">
        <w:rPr>
          <w:rFonts w:ascii="Arial" w:eastAsia="Times New Roman" w:hAnsi="Arial" w:cs="Arial"/>
          <w:bCs/>
          <w:kern w:val="36"/>
          <w:sz w:val="24"/>
          <w:szCs w:val="24"/>
        </w:rPr>
        <w:t>Ahrendt</w:t>
      </w:r>
      <w:proofErr w:type="spellEnd"/>
      <w:r w:rsidRPr="009F7AE7">
        <w:rPr>
          <w:rFonts w:ascii="Arial" w:eastAsia="Times New Roman" w:hAnsi="Arial" w:cs="Arial"/>
          <w:bCs/>
          <w:kern w:val="36"/>
          <w:sz w:val="24"/>
          <w:szCs w:val="24"/>
        </w:rPr>
        <w:t xml:space="preserve"> D. (2020). Effect of gender affirming hormones on athletic performance in transwomen and transmen: Implications for sporting </w:t>
      </w:r>
      <w:proofErr w:type="spellStart"/>
      <w:r w:rsidRPr="009F7AE7">
        <w:rPr>
          <w:rFonts w:ascii="Arial" w:eastAsia="Times New Roman" w:hAnsi="Arial" w:cs="Arial"/>
          <w:bCs/>
          <w:kern w:val="36"/>
          <w:sz w:val="24"/>
          <w:szCs w:val="24"/>
        </w:rPr>
        <w:t>organisations</w:t>
      </w:r>
      <w:proofErr w:type="spellEnd"/>
      <w:r w:rsidRPr="009F7AE7">
        <w:rPr>
          <w:rFonts w:ascii="Arial" w:eastAsia="Times New Roman" w:hAnsi="Arial" w:cs="Arial"/>
          <w:bCs/>
          <w:kern w:val="36"/>
          <w:sz w:val="24"/>
          <w:szCs w:val="24"/>
        </w:rPr>
        <w:t xml:space="preserve"> and legislators. </w:t>
      </w:r>
      <w:r w:rsidRPr="009F7AE7">
        <w:rPr>
          <w:rFonts w:ascii="Arial" w:eastAsia="Times New Roman" w:hAnsi="Arial" w:cs="Arial"/>
          <w:b/>
          <w:i/>
          <w:kern w:val="36"/>
          <w:sz w:val="24"/>
          <w:szCs w:val="24"/>
        </w:rPr>
        <w:t>British J Sports Med</w:t>
      </w:r>
      <w:r w:rsidR="003626F0" w:rsidRPr="009F7AE7">
        <w:rPr>
          <w:rFonts w:ascii="Arial" w:eastAsia="Times New Roman" w:hAnsi="Arial" w:cs="Arial"/>
          <w:b/>
          <w:i/>
          <w:kern w:val="36"/>
          <w:sz w:val="24"/>
          <w:szCs w:val="24"/>
        </w:rPr>
        <w:t>.</w:t>
      </w:r>
      <w:r w:rsidRPr="009F7AE7">
        <w:rPr>
          <w:rFonts w:ascii="Arial" w:eastAsia="Times New Roman" w:hAnsi="Arial" w:cs="Arial"/>
          <w:bCs/>
          <w:kern w:val="36"/>
          <w:sz w:val="24"/>
          <w:szCs w:val="24"/>
        </w:rPr>
        <w:t xml:space="preserve"> </w:t>
      </w:r>
      <w:r w:rsidR="003626F0" w:rsidRPr="009F7AE7">
        <w:rPr>
          <w:rFonts w:ascii="Arial" w:eastAsia="Times New Roman" w:hAnsi="Arial" w:cs="Arial"/>
          <w:bCs/>
          <w:kern w:val="36"/>
          <w:sz w:val="24"/>
          <w:szCs w:val="24"/>
        </w:rPr>
        <w:t>(</w:t>
      </w:r>
      <w:r w:rsidRPr="009F7AE7">
        <w:rPr>
          <w:rFonts w:ascii="Arial" w:eastAsia="Times New Roman" w:hAnsi="Arial" w:cs="Arial"/>
          <w:bCs/>
          <w:kern w:val="36"/>
          <w:sz w:val="24"/>
          <w:szCs w:val="24"/>
        </w:rPr>
        <w:t>Online</w:t>
      </w:r>
      <w:r w:rsidR="003626F0" w:rsidRPr="009F7AE7">
        <w:rPr>
          <w:rFonts w:ascii="Arial" w:eastAsia="Times New Roman" w:hAnsi="Arial" w:cs="Arial"/>
          <w:bCs/>
          <w:kern w:val="36"/>
          <w:sz w:val="24"/>
          <w:szCs w:val="24"/>
        </w:rPr>
        <w:t xml:space="preserve">, </w:t>
      </w:r>
      <w:r w:rsidRPr="009F7AE7">
        <w:rPr>
          <w:rFonts w:ascii="Arial" w:eastAsia="Times New Roman" w:hAnsi="Arial" w:cs="Arial"/>
          <w:bCs/>
          <w:kern w:val="36"/>
          <w:sz w:val="24"/>
          <w:szCs w:val="24"/>
        </w:rPr>
        <w:t xml:space="preserve">December </w:t>
      </w:r>
      <w:r w:rsidR="003626F0" w:rsidRPr="009F7AE7">
        <w:rPr>
          <w:rFonts w:ascii="Arial" w:eastAsia="Times New Roman" w:hAnsi="Arial" w:cs="Arial"/>
          <w:bCs/>
          <w:kern w:val="36"/>
          <w:sz w:val="24"/>
          <w:szCs w:val="24"/>
        </w:rPr>
        <w:t xml:space="preserve">7, </w:t>
      </w:r>
      <w:r w:rsidRPr="009F7AE7">
        <w:rPr>
          <w:rFonts w:ascii="Arial" w:eastAsia="Times New Roman" w:hAnsi="Arial" w:cs="Arial"/>
          <w:bCs/>
          <w:kern w:val="36"/>
          <w:sz w:val="24"/>
          <w:szCs w:val="24"/>
        </w:rPr>
        <w:t>2020</w:t>
      </w:r>
      <w:r w:rsidR="008B3FA5" w:rsidRPr="009F7AE7">
        <w:rPr>
          <w:rFonts w:ascii="Arial" w:eastAsia="Times New Roman" w:hAnsi="Arial" w:cs="Arial"/>
          <w:bCs/>
          <w:kern w:val="36"/>
          <w:sz w:val="24"/>
          <w:szCs w:val="24"/>
        </w:rPr>
        <w:t>)</w:t>
      </w:r>
      <w:r w:rsidRPr="009F7AE7">
        <w:rPr>
          <w:rFonts w:ascii="Arial" w:eastAsia="Times New Roman" w:hAnsi="Arial" w:cs="Arial"/>
          <w:bCs/>
          <w:kern w:val="36"/>
          <w:sz w:val="24"/>
          <w:szCs w:val="24"/>
        </w:rPr>
        <w:t xml:space="preserve">. </w:t>
      </w:r>
      <w:r w:rsidR="008B3FA5" w:rsidRPr="009F7AE7">
        <w:rPr>
          <w:rFonts w:ascii="Arial" w:eastAsia="Times New Roman" w:hAnsi="Arial" w:cs="Arial"/>
          <w:bCs/>
          <w:kern w:val="36"/>
          <w:sz w:val="24"/>
          <w:szCs w:val="24"/>
        </w:rPr>
        <w:t>D</w:t>
      </w:r>
      <w:r w:rsidRPr="009F7AE7">
        <w:rPr>
          <w:rFonts w:ascii="Arial" w:eastAsia="Times New Roman" w:hAnsi="Arial" w:cs="Arial"/>
          <w:bCs/>
          <w:kern w:val="36"/>
          <w:sz w:val="24"/>
          <w:szCs w:val="24"/>
        </w:rPr>
        <w:t>oi: 10.1136/bjsports-2020-102329</w:t>
      </w:r>
    </w:p>
    <w:p w14:paraId="6A149477" w14:textId="77777777" w:rsidR="00BB35C4" w:rsidRPr="009F7AE7" w:rsidRDefault="00BB35C4" w:rsidP="00BB35C4"/>
    <w:p w14:paraId="34DDAF67" w14:textId="77777777" w:rsidR="000E77C9" w:rsidRPr="009F7AE7" w:rsidRDefault="000E77C9" w:rsidP="000E77C9">
      <w:pPr>
        <w:jc w:val="both"/>
      </w:pPr>
    </w:p>
    <w:p w14:paraId="379ED930" w14:textId="77777777" w:rsidR="000E77C9" w:rsidRPr="009F7AE7" w:rsidRDefault="000E77C9" w:rsidP="000E77C9">
      <w:pPr>
        <w:jc w:val="both"/>
      </w:pPr>
    </w:p>
    <w:p w14:paraId="63FEC6F3" w14:textId="77777777" w:rsidR="000E77C9" w:rsidRPr="009F7AE7" w:rsidRDefault="000E77C9" w:rsidP="000E77C9"/>
    <w:p w14:paraId="01AA005E" w14:textId="77777777" w:rsidR="00B04280" w:rsidRPr="009F7AE7" w:rsidRDefault="00B04280" w:rsidP="000E77C9">
      <w:pPr>
        <w:shd w:val="clear" w:color="auto" w:fill="FFFFFF"/>
        <w:spacing w:line="276" w:lineRule="auto"/>
        <w:jc w:val="both"/>
        <w:rPr>
          <w:rFonts w:ascii="Arial" w:hAnsi="Arial" w:cs="Arial"/>
          <w:i/>
          <w:sz w:val="24"/>
          <w:szCs w:val="24"/>
        </w:rPr>
      </w:pPr>
    </w:p>
    <w:sectPr w:rsidR="00B04280" w:rsidRPr="009F7AE7" w:rsidSect="00673D47">
      <w:footerReference w:type="default" r:id="rId8"/>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58BE56" w14:textId="77777777" w:rsidR="00EC1E67" w:rsidRDefault="00EC1E67" w:rsidP="00CC54F9">
      <w:r>
        <w:separator/>
      </w:r>
    </w:p>
  </w:endnote>
  <w:endnote w:type="continuationSeparator" w:id="0">
    <w:p w14:paraId="34729470" w14:textId="77777777" w:rsidR="00EC1E67" w:rsidRDefault="00EC1E67"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27693140"/>
      <w:docPartObj>
        <w:docPartGallery w:val="Page Numbers (Bottom of Page)"/>
        <w:docPartUnique/>
      </w:docPartObj>
    </w:sdtPr>
    <w:sdtEndPr>
      <w:rPr>
        <w:noProof/>
      </w:rPr>
    </w:sdtEndPr>
    <w:sdtContent>
      <w:p w14:paraId="32C7414D" w14:textId="06F0025B" w:rsidR="00AE57DA" w:rsidRDefault="00AE57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58B15" w14:textId="77777777" w:rsidR="00EC1E67" w:rsidRDefault="00EC1E67" w:rsidP="00CC54F9">
      <w:r>
        <w:separator/>
      </w:r>
    </w:p>
  </w:footnote>
  <w:footnote w:type="continuationSeparator" w:id="0">
    <w:p w14:paraId="268E5E47" w14:textId="77777777" w:rsidR="00EC1E67" w:rsidRDefault="00EC1E67"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3"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25"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abstractNumId w:val="24"/>
  </w:num>
  <w:num w:numId="2">
    <w:abstractNumId w:val="20"/>
  </w:num>
  <w:num w:numId="3">
    <w:abstractNumId w:val="21"/>
  </w:num>
  <w:num w:numId="4">
    <w:abstractNumId w:val="16"/>
  </w:num>
  <w:num w:numId="5">
    <w:abstractNumId w:val="10"/>
  </w:num>
  <w:num w:numId="6">
    <w:abstractNumId w:val="0"/>
  </w:num>
  <w:num w:numId="7">
    <w:abstractNumId w:val="8"/>
  </w:num>
  <w:num w:numId="8">
    <w:abstractNumId w:val="19"/>
  </w:num>
  <w:num w:numId="9">
    <w:abstractNumId w:val="11"/>
  </w:num>
  <w:num w:numId="10">
    <w:abstractNumId w:val="26"/>
  </w:num>
  <w:num w:numId="11">
    <w:abstractNumId w:val="23"/>
  </w:num>
  <w:num w:numId="12">
    <w:abstractNumId w:val="2"/>
  </w:num>
  <w:num w:numId="13">
    <w:abstractNumId w:val="14"/>
  </w:num>
  <w:num w:numId="14">
    <w:abstractNumId w:val="4"/>
  </w:num>
  <w:num w:numId="15">
    <w:abstractNumId w:val="17"/>
  </w:num>
  <w:num w:numId="16">
    <w:abstractNumId w:val="13"/>
  </w:num>
  <w:num w:numId="17">
    <w:abstractNumId w:val="18"/>
  </w:num>
  <w:num w:numId="18">
    <w:abstractNumId w:val="5"/>
  </w:num>
  <w:num w:numId="19">
    <w:abstractNumId w:val="6"/>
  </w:num>
  <w:num w:numId="20">
    <w:abstractNumId w:val="25"/>
  </w:num>
  <w:num w:numId="21">
    <w:abstractNumId w:val="9"/>
  </w:num>
  <w:num w:numId="22">
    <w:abstractNumId w:val="12"/>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3"/>
  </w:num>
  <w:num w:numId="26">
    <w:abstractNumId w:val="1"/>
  </w:num>
  <w:num w:numId="27">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2E2"/>
    <w:rsid w:val="000523A4"/>
    <w:rsid w:val="000526E1"/>
    <w:rsid w:val="000539CC"/>
    <w:rsid w:val="000544C1"/>
    <w:rsid w:val="00055004"/>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65C5"/>
    <w:rsid w:val="000C012F"/>
    <w:rsid w:val="000C131F"/>
    <w:rsid w:val="000C28AC"/>
    <w:rsid w:val="000C3A09"/>
    <w:rsid w:val="000C4CD3"/>
    <w:rsid w:val="000C52DD"/>
    <w:rsid w:val="000C5627"/>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10136C"/>
    <w:rsid w:val="00101621"/>
    <w:rsid w:val="00101C1D"/>
    <w:rsid w:val="00105282"/>
    <w:rsid w:val="0010580B"/>
    <w:rsid w:val="001066CD"/>
    <w:rsid w:val="00111E2A"/>
    <w:rsid w:val="001127CB"/>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1B98"/>
    <w:rsid w:val="001A2142"/>
    <w:rsid w:val="001A33B4"/>
    <w:rsid w:val="001A3916"/>
    <w:rsid w:val="001A3C8F"/>
    <w:rsid w:val="001A44F3"/>
    <w:rsid w:val="001A5485"/>
    <w:rsid w:val="001A6D30"/>
    <w:rsid w:val="001B016D"/>
    <w:rsid w:val="001B037A"/>
    <w:rsid w:val="001B13D1"/>
    <w:rsid w:val="001B167B"/>
    <w:rsid w:val="001B23C6"/>
    <w:rsid w:val="001B34DE"/>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9F1"/>
    <w:rsid w:val="00204444"/>
    <w:rsid w:val="00204607"/>
    <w:rsid w:val="0020490B"/>
    <w:rsid w:val="00204FA6"/>
    <w:rsid w:val="0020528A"/>
    <w:rsid w:val="0020719D"/>
    <w:rsid w:val="00211FBC"/>
    <w:rsid w:val="0021375F"/>
    <w:rsid w:val="00214AF9"/>
    <w:rsid w:val="002159AE"/>
    <w:rsid w:val="0021745F"/>
    <w:rsid w:val="00220ACD"/>
    <w:rsid w:val="00220B8F"/>
    <w:rsid w:val="00220E31"/>
    <w:rsid w:val="00221EE5"/>
    <w:rsid w:val="00222416"/>
    <w:rsid w:val="00223005"/>
    <w:rsid w:val="00223741"/>
    <w:rsid w:val="00224580"/>
    <w:rsid w:val="00225467"/>
    <w:rsid w:val="002263A4"/>
    <w:rsid w:val="002275E5"/>
    <w:rsid w:val="002276D7"/>
    <w:rsid w:val="00233AB5"/>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837"/>
    <w:rsid w:val="00262D0E"/>
    <w:rsid w:val="00262E51"/>
    <w:rsid w:val="00262F55"/>
    <w:rsid w:val="00265485"/>
    <w:rsid w:val="002660B2"/>
    <w:rsid w:val="002664B8"/>
    <w:rsid w:val="002664E1"/>
    <w:rsid w:val="002667D4"/>
    <w:rsid w:val="00266AD5"/>
    <w:rsid w:val="0026756B"/>
    <w:rsid w:val="00270B83"/>
    <w:rsid w:val="00271AA5"/>
    <w:rsid w:val="00275655"/>
    <w:rsid w:val="00281028"/>
    <w:rsid w:val="002832B6"/>
    <w:rsid w:val="002850CC"/>
    <w:rsid w:val="00285BAE"/>
    <w:rsid w:val="00286E35"/>
    <w:rsid w:val="00286F96"/>
    <w:rsid w:val="002900D7"/>
    <w:rsid w:val="00291882"/>
    <w:rsid w:val="00294772"/>
    <w:rsid w:val="0029551C"/>
    <w:rsid w:val="00296D8F"/>
    <w:rsid w:val="002971A3"/>
    <w:rsid w:val="002A03D4"/>
    <w:rsid w:val="002A0EC8"/>
    <w:rsid w:val="002A354E"/>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B1D"/>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7FBF"/>
    <w:rsid w:val="00321A6C"/>
    <w:rsid w:val="00323C06"/>
    <w:rsid w:val="003252E6"/>
    <w:rsid w:val="003273C9"/>
    <w:rsid w:val="003312CB"/>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21"/>
    <w:rsid w:val="00370F19"/>
    <w:rsid w:val="0037181E"/>
    <w:rsid w:val="00371E99"/>
    <w:rsid w:val="00372B6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7886"/>
    <w:rsid w:val="003E1BF9"/>
    <w:rsid w:val="003E2698"/>
    <w:rsid w:val="003E4DC0"/>
    <w:rsid w:val="003E662D"/>
    <w:rsid w:val="003E6FFB"/>
    <w:rsid w:val="003F10FA"/>
    <w:rsid w:val="003F51D7"/>
    <w:rsid w:val="003F5798"/>
    <w:rsid w:val="003F617B"/>
    <w:rsid w:val="003F6F25"/>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3416D"/>
    <w:rsid w:val="00434C75"/>
    <w:rsid w:val="004367E5"/>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829"/>
    <w:rsid w:val="00481002"/>
    <w:rsid w:val="0048217A"/>
    <w:rsid w:val="00482240"/>
    <w:rsid w:val="00484367"/>
    <w:rsid w:val="004853F0"/>
    <w:rsid w:val="004859CE"/>
    <w:rsid w:val="00486038"/>
    <w:rsid w:val="0048789E"/>
    <w:rsid w:val="00487977"/>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A47"/>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66DF"/>
    <w:rsid w:val="005A05B4"/>
    <w:rsid w:val="005A22E4"/>
    <w:rsid w:val="005A3359"/>
    <w:rsid w:val="005A3782"/>
    <w:rsid w:val="005A455F"/>
    <w:rsid w:val="005A57FC"/>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396"/>
    <w:rsid w:val="00671F17"/>
    <w:rsid w:val="0067250F"/>
    <w:rsid w:val="00673594"/>
    <w:rsid w:val="00673D47"/>
    <w:rsid w:val="006744DE"/>
    <w:rsid w:val="00674FB6"/>
    <w:rsid w:val="00677076"/>
    <w:rsid w:val="006814EC"/>
    <w:rsid w:val="00682C5D"/>
    <w:rsid w:val="006833BE"/>
    <w:rsid w:val="0068550B"/>
    <w:rsid w:val="00685EFB"/>
    <w:rsid w:val="0068775D"/>
    <w:rsid w:val="00690604"/>
    <w:rsid w:val="006932C5"/>
    <w:rsid w:val="00693D7D"/>
    <w:rsid w:val="006954CD"/>
    <w:rsid w:val="00695513"/>
    <w:rsid w:val="0069776F"/>
    <w:rsid w:val="00697BBA"/>
    <w:rsid w:val="006A3A6D"/>
    <w:rsid w:val="006A4550"/>
    <w:rsid w:val="006A7267"/>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3151"/>
    <w:rsid w:val="007D3AFD"/>
    <w:rsid w:val="007D3CC9"/>
    <w:rsid w:val="007D52F2"/>
    <w:rsid w:val="007D7209"/>
    <w:rsid w:val="007D7879"/>
    <w:rsid w:val="007E0523"/>
    <w:rsid w:val="007E1423"/>
    <w:rsid w:val="007E1ADF"/>
    <w:rsid w:val="007E2866"/>
    <w:rsid w:val="007E2941"/>
    <w:rsid w:val="007E321E"/>
    <w:rsid w:val="007E505A"/>
    <w:rsid w:val="007E50E7"/>
    <w:rsid w:val="007E526E"/>
    <w:rsid w:val="007E74BD"/>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51D80"/>
    <w:rsid w:val="0085289F"/>
    <w:rsid w:val="008532DB"/>
    <w:rsid w:val="008536CB"/>
    <w:rsid w:val="00854A14"/>
    <w:rsid w:val="00854F93"/>
    <w:rsid w:val="00855669"/>
    <w:rsid w:val="00855C3F"/>
    <w:rsid w:val="00856905"/>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B07BD"/>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3719"/>
    <w:rsid w:val="00A83C59"/>
    <w:rsid w:val="00A84C0F"/>
    <w:rsid w:val="00A87C50"/>
    <w:rsid w:val="00A9027F"/>
    <w:rsid w:val="00A9292B"/>
    <w:rsid w:val="00A92BFA"/>
    <w:rsid w:val="00A92DCA"/>
    <w:rsid w:val="00A94790"/>
    <w:rsid w:val="00A95247"/>
    <w:rsid w:val="00A96114"/>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4280"/>
    <w:rsid w:val="00B05C3E"/>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6193"/>
    <w:rsid w:val="00B378D3"/>
    <w:rsid w:val="00B40194"/>
    <w:rsid w:val="00B4244C"/>
    <w:rsid w:val="00B42541"/>
    <w:rsid w:val="00B44218"/>
    <w:rsid w:val="00B4488C"/>
    <w:rsid w:val="00B45FD8"/>
    <w:rsid w:val="00B473A5"/>
    <w:rsid w:val="00B47E99"/>
    <w:rsid w:val="00B5362B"/>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28B7"/>
    <w:rsid w:val="00BA5245"/>
    <w:rsid w:val="00BA5395"/>
    <w:rsid w:val="00BA605F"/>
    <w:rsid w:val="00BB0A3C"/>
    <w:rsid w:val="00BB26FF"/>
    <w:rsid w:val="00BB270C"/>
    <w:rsid w:val="00BB35C4"/>
    <w:rsid w:val="00BB53BA"/>
    <w:rsid w:val="00BB5966"/>
    <w:rsid w:val="00BC0A4F"/>
    <w:rsid w:val="00BC21E6"/>
    <w:rsid w:val="00BC29A2"/>
    <w:rsid w:val="00BD0068"/>
    <w:rsid w:val="00BD1882"/>
    <w:rsid w:val="00BD1FA0"/>
    <w:rsid w:val="00BD49AC"/>
    <w:rsid w:val="00BD4A55"/>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208A"/>
    <w:rsid w:val="00CB27C3"/>
    <w:rsid w:val="00CB5214"/>
    <w:rsid w:val="00CB56CC"/>
    <w:rsid w:val="00CB6AD9"/>
    <w:rsid w:val="00CC2158"/>
    <w:rsid w:val="00CC48A2"/>
    <w:rsid w:val="00CC54F9"/>
    <w:rsid w:val="00CC6729"/>
    <w:rsid w:val="00CC6AF4"/>
    <w:rsid w:val="00CD1209"/>
    <w:rsid w:val="00CD329C"/>
    <w:rsid w:val="00CD42B7"/>
    <w:rsid w:val="00CD52B2"/>
    <w:rsid w:val="00CD699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287D"/>
    <w:rsid w:val="00D029C2"/>
    <w:rsid w:val="00D03D46"/>
    <w:rsid w:val="00D065DE"/>
    <w:rsid w:val="00D06DEF"/>
    <w:rsid w:val="00D07A17"/>
    <w:rsid w:val="00D07D0C"/>
    <w:rsid w:val="00D131B1"/>
    <w:rsid w:val="00D13B84"/>
    <w:rsid w:val="00D13F86"/>
    <w:rsid w:val="00D15E16"/>
    <w:rsid w:val="00D16E30"/>
    <w:rsid w:val="00D17092"/>
    <w:rsid w:val="00D17DCB"/>
    <w:rsid w:val="00D17ED8"/>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F12"/>
    <w:rsid w:val="00D57718"/>
    <w:rsid w:val="00D57CCD"/>
    <w:rsid w:val="00D60216"/>
    <w:rsid w:val="00D6163E"/>
    <w:rsid w:val="00D61659"/>
    <w:rsid w:val="00D61C60"/>
    <w:rsid w:val="00D648F7"/>
    <w:rsid w:val="00D65E8A"/>
    <w:rsid w:val="00D67ED4"/>
    <w:rsid w:val="00D70B10"/>
    <w:rsid w:val="00D722F8"/>
    <w:rsid w:val="00D7239E"/>
    <w:rsid w:val="00D73433"/>
    <w:rsid w:val="00D7353D"/>
    <w:rsid w:val="00D75521"/>
    <w:rsid w:val="00D7788A"/>
    <w:rsid w:val="00D77F73"/>
    <w:rsid w:val="00D807F8"/>
    <w:rsid w:val="00D8160D"/>
    <w:rsid w:val="00D818ED"/>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34C"/>
    <w:rsid w:val="00E024A3"/>
    <w:rsid w:val="00E02EA7"/>
    <w:rsid w:val="00E033C7"/>
    <w:rsid w:val="00E03608"/>
    <w:rsid w:val="00E04AC7"/>
    <w:rsid w:val="00E07403"/>
    <w:rsid w:val="00E11AAD"/>
    <w:rsid w:val="00E15CF8"/>
    <w:rsid w:val="00E16A05"/>
    <w:rsid w:val="00E212D9"/>
    <w:rsid w:val="00E225D5"/>
    <w:rsid w:val="00E22D71"/>
    <w:rsid w:val="00E247E1"/>
    <w:rsid w:val="00E26AF2"/>
    <w:rsid w:val="00E26EE6"/>
    <w:rsid w:val="00E3133F"/>
    <w:rsid w:val="00E31952"/>
    <w:rsid w:val="00E32CF1"/>
    <w:rsid w:val="00E334A1"/>
    <w:rsid w:val="00E379A7"/>
    <w:rsid w:val="00E401F0"/>
    <w:rsid w:val="00E4160D"/>
    <w:rsid w:val="00E432CC"/>
    <w:rsid w:val="00E45C58"/>
    <w:rsid w:val="00E46379"/>
    <w:rsid w:val="00E516D0"/>
    <w:rsid w:val="00E532C3"/>
    <w:rsid w:val="00E53BA4"/>
    <w:rsid w:val="00E55C81"/>
    <w:rsid w:val="00E5637D"/>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1E67"/>
    <w:rsid w:val="00EC2A8A"/>
    <w:rsid w:val="00EC304C"/>
    <w:rsid w:val="00EC3941"/>
    <w:rsid w:val="00EC4E6F"/>
    <w:rsid w:val="00EC5112"/>
    <w:rsid w:val="00EC57B4"/>
    <w:rsid w:val="00EC6322"/>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23BC"/>
    <w:rsid w:val="00F828DF"/>
    <w:rsid w:val="00F84A7A"/>
    <w:rsid w:val="00F866ED"/>
    <w:rsid w:val="00F86F27"/>
    <w:rsid w:val="00F9220C"/>
    <w:rsid w:val="00F93B14"/>
    <w:rsid w:val="00F9448C"/>
    <w:rsid w:val="00F94A6A"/>
    <w:rsid w:val="00F94EFF"/>
    <w:rsid w:val="00F95CD4"/>
    <w:rsid w:val="00F965E5"/>
    <w:rsid w:val="00FA197E"/>
    <w:rsid w:val="00FA5DD5"/>
    <w:rsid w:val="00FB3048"/>
    <w:rsid w:val="00FB3F83"/>
    <w:rsid w:val="00FB5462"/>
    <w:rsid w:val="00FB5537"/>
    <w:rsid w:val="00FB6112"/>
    <w:rsid w:val="00FB7159"/>
    <w:rsid w:val="00FB78A9"/>
    <w:rsid w:val="00FB7BEE"/>
    <w:rsid w:val="00FC0B93"/>
    <w:rsid w:val="00FC0DE7"/>
    <w:rsid w:val="00FC2788"/>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5BB2B238-F40D-412D-A592-40882F2E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1925605798">
          <w:marLeft w:val="547"/>
          <w:marRight w:val="0"/>
          <w:marTop w:val="211"/>
          <w:marBottom w:val="0"/>
          <w:divBdr>
            <w:top w:val="none" w:sz="0" w:space="0" w:color="auto"/>
            <w:left w:val="none" w:sz="0" w:space="0" w:color="auto"/>
            <w:bottom w:val="none" w:sz="0" w:space="0" w:color="auto"/>
            <w:right w:val="none" w:sz="0" w:space="0" w:color="auto"/>
          </w:divBdr>
        </w:div>
        <w:div w:id="721096001">
          <w:marLeft w:val="547"/>
          <w:marRight w:val="0"/>
          <w:marTop w:val="288"/>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063405378">
          <w:marLeft w:val="547"/>
          <w:marRight w:val="0"/>
          <w:marTop w:val="211"/>
          <w:marBottom w:val="0"/>
          <w:divBdr>
            <w:top w:val="none" w:sz="0" w:space="0" w:color="auto"/>
            <w:left w:val="none" w:sz="0" w:space="0" w:color="auto"/>
            <w:bottom w:val="none" w:sz="0" w:space="0" w:color="auto"/>
            <w:right w:val="none" w:sz="0" w:space="0" w:color="auto"/>
          </w:divBdr>
        </w:div>
        <w:div w:id="271283242">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971786199">
          <w:marLeft w:val="547"/>
          <w:marRight w:val="0"/>
          <w:marTop w:val="192"/>
          <w:marBottom w:val="0"/>
          <w:divBdr>
            <w:top w:val="none" w:sz="0" w:space="0" w:color="auto"/>
            <w:left w:val="none" w:sz="0" w:space="0" w:color="auto"/>
            <w:bottom w:val="none" w:sz="0" w:space="0" w:color="auto"/>
            <w:right w:val="none" w:sz="0" w:space="0" w:color="auto"/>
          </w:divBdr>
        </w:div>
        <w:div w:id="787236250">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1561096384">
          <w:marLeft w:val="547"/>
          <w:marRight w:val="0"/>
          <w:marTop w:val="211"/>
          <w:marBottom w:val="0"/>
          <w:divBdr>
            <w:top w:val="none" w:sz="0" w:space="0" w:color="auto"/>
            <w:left w:val="none" w:sz="0" w:space="0" w:color="auto"/>
            <w:bottom w:val="none" w:sz="0" w:space="0" w:color="auto"/>
            <w:right w:val="none" w:sz="0" w:space="0" w:color="auto"/>
          </w:divBdr>
        </w:div>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477801083">
          <w:marLeft w:val="547"/>
          <w:marRight w:val="0"/>
          <w:marTop w:val="230"/>
          <w:marBottom w:val="0"/>
          <w:divBdr>
            <w:top w:val="none" w:sz="0" w:space="0" w:color="auto"/>
            <w:left w:val="none" w:sz="0" w:space="0" w:color="auto"/>
            <w:bottom w:val="none" w:sz="0" w:space="0" w:color="auto"/>
            <w:right w:val="none" w:sz="0" w:space="0" w:color="auto"/>
          </w:divBdr>
        </w:div>
        <w:div w:id="117037036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1335910674">
          <w:marLeft w:val="547"/>
          <w:marRight w:val="0"/>
          <w:marTop w:val="211"/>
          <w:marBottom w:val="0"/>
          <w:divBdr>
            <w:top w:val="none" w:sz="0" w:space="0" w:color="auto"/>
            <w:left w:val="none" w:sz="0" w:space="0" w:color="auto"/>
            <w:bottom w:val="none" w:sz="0" w:space="0" w:color="auto"/>
            <w:right w:val="none" w:sz="0" w:space="0" w:color="auto"/>
          </w:divBdr>
        </w:div>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 w:id="96759884">
          <w:marLeft w:val="547"/>
          <w:marRight w:val="0"/>
          <w:marTop w:val="230"/>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177110233">
          <w:marLeft w:val="547"/>
          <w:marRight w:val="0"/>
          <w:marTop w:val="173"/>
          <w:marBottom w:val="0"/>
          <w:divBdr>
            <w:top w:val="none" w:sz="0" w:space="0" w:color="auto"/>
            <w:left w:val="none" w:sz="0" w:space="0" w:color="auto"/>
            <w:bottom w:val="none" w:sz="0" w:space="0" w:color="auto"/>
            <w:right w:val="none" w:sz="0" w:space="0" w:color="auto"/>
          </w:divBdr>
        </w:div>
        <w:div w:id="121045862">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1439987430">
          <w:marLeft w:val="547"/>
          <w:marRight w:val="0"/>
          <w:marTop w:val="288"/>
          <w:marBottom w:val="0"/>
          <w:divBdr>
            <w:top w:val="none" w:sz="0" w:space="0" w:color="auto"/>
            <w:left w:val="none" w:sz="0" w:space="0" w:color="auto"/>
            <w:bottom w:val="none" w:sz="0" w:space="0" w:color="auto"/>
            <w:right w:val="none" w:sz="0" w:space="0" w:color="auto"/>
          </w:divBdr>
        </w:div>
        <w:div w:id="285622269">
          <w:marLeft w:val="547"/>
          <w:marRight w:val="0"/>
          <w:marTop w:val="17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822119190">
          <w:marLeft w:val="547"/>
          <w:marRight w:val="0"/>
          <w:marTop w:val="230"/>
          <w:marBottom w:val="0"/>
          <w:divBdr>
            <w:top w:val="none" w:sz="0" w:space="0" w:color="auto"/>
            <w:left w:val="none" w:sz="0" w:space="0" w:color="auto"/>
            <w:bottom w:val="none" w:sz="0" w:space="0" w:color="auto"/>
            <w:right w:val="none" w:sz="0" w:space="0" w:color="auto"/>
          </w:divBdr>
        </w:div>
        <w:div w:id="1129058294">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999770174">
          <w:marLeft w:val="547"/>
          <w:marRight w:val="0"/>
          <w:marTop w:val="192"/>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245915445">
          <w:marLeft w:val="547"/>
          <w:marRight w:val="0"/>
          <w:marTop w:val="211"/>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830609313">
          <w:marLeft w:val="547"/>
          <w:marRight w:val="0"/>
          <w:marTop w:val="317"/>
          <w:marBottom w:val="0"/>
          <w:divBdr>
            <w:top w:val="none" w:sz="0" w:space="0" w:color="auto"/>
            <w:left w:val="none" w:sz="0" w:space="0" w:color="auto"/>
            <w:bottom w:val="none" w:sz="0" w:space="0" w:color="auto"/>
            <w:right w:val="none" w:sz="0" w:space="0" w:color="auto"/>
          </w:divBdr>
        </w:div>
        <w:div w:id="454563254">
          <w:marLeft w:val="547"/>
          <w:marRight w:val="0"/>
          <w:marTop w:val="230"/>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786503694">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243102243">
          <w:marLeft w:val="547"/>
          <w:marRight w:val="0"/>
          <w:marTop w:val="211"/>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1497379691">
          <w:marLeft w:val="547"/>
          <w:marRight w:val="0"/>
          <w:marTop w:val="192"/>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819225225">
          <w:marLeft w:val="547"/>
          <w:marRight w:val="0"/>
          <w:marTop w:val="211"/>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3324</Words>
  <Characters>18953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Tommy Boone</dc:creator>
  <cp:lastModifiedBy>Tommy Boone</cp:lastModifiedBy>
  <cp:revision>2</cp:revision>
  <cp:lastPrinted>2021-03-01T20:10:00Z</cp:lastPrinted>
  <dcterms:created xsi:type="dcterms:W3CDTF">2021-03-02T03:16:00Z</dcterms:created>
  <dcterms:modified xsi:type="dcterms:W3CDTF">2021-03-02T03:16:00Z</dcterms:modified>
</cp:coreProperties>
</file>