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DB" w:rsidRDefault="00413A78" w:rsidP="008904DB">
      <w:pPr>
        <w:rPr>
          <w:rFonts w:cs="Times New Roman"/>
          <w:b/>
          <w:sz w:val="28"/>
          <w:szCs w:val="28"/>
        </w:rPr>
      </w:pPr>
      <w:r w:rsidRPr="00413A78">
        <w:rPr>
          <w:rFonts w:asciiTheme="minorHAnsi" w:hAnsiTheme="minorHAnsi"/>
          <w:noProof/>
          <w:sz w:val="22"/>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B823F2" w:rsidRDefault="00B823F2" w:rsidP="00B823F2">
                  <w:pPr>
                    <w:jc w:val="center"/>
                    <w:rPr>
                      <w:b/>
                      <w:color w:val="FFFFFF" w:themeColor="background1"/>
                      <w:sz w:val="44"/>
                      <w:szCs w:val="44"/>
                    </w:rPr>
                  </w:pPr>
                </w:p>
                <w:p w:rsidR="00B823F2" w:rsidRPr="006E3F84" w:rsidRDefault="00B823F2" w:rsidP="00B823F2">
                  <w:pPr>
                    <w:jc w:val="center"/>
                    <w:rPr>
                      <w:b/>
                      <w:color w:val="FFFFFF" w:themeColor="background1"/>
                      <w:sz w:val="44"/>
                      <w:szCs w:val="44"/>
                    </w:rPr>
                  </w:pPr>
                  <w:r w:rsidRPr="006E3F84">
                    <w:rPr>
                      <w:b/>
                      <w:color w:val="FFFFFF" w:themeColor="background1"/>
                      <w:sz w:val="44"/>
                      <w:szCs w:val="44"/>
                    </w:rPr>
                    <w:t xml:space="preserve">Professionalization of Exercise </w:t>
                  </w:r>
                  <w:proofErr w:type="spellStart"/>
                  <w:r w:rsidRPr="006E3F84">
                    <w:rPr>
                      <w:b/>
                      <w:color w:val="FFFFFF" w:themeColor="background1"/>
                      <w:sz w:val="44"/>
                      <w:szCs w:val="44"/>
                    </w:rPr>
                    <w:t>Physiology</w:t>
                  </w:r>
                  <w:r w:rsidRPr="00C9213C">
                    <w:rPr>
                      <w:color w:val="E36C0A" w:themeColor="accent6" w:themeShade="BF"/>
                      <w:sz w:val="32"/>
                      <w:szCs w:val="32"/>
                    </w:rPr>
                    <w:t>online</w:t>
                  </w:r>
                  <w:proofErr w:type="spellEnd"/>
                </w:p>
                <w:p w:rsidR="00B823F2" w:rsidRDefault="00B823F2" w:rsidP="00B823F2">
                  <w:pPr>
                    <w:jc w:val="center"/>
                    <w:rPr>
                      <w:color w:val="FFFFFF" w:themeColor="background1"/>
                      <w:sz w:val="20"/>
                      <w:szCs w:val="20"/>
                    </w:rPr>
                  </w:pPr>
                </w:p>
                <w:p w:rsidR="00B823F2" w:rsidRDefault="00B823F2" w:rsidP="00B823F2">
                  <w:pPr>
                    <w:jc w:val="center"/>
                    <w:rPr>
                      <w:color w:val="FFFFFF" w:themeColor="background1"/>
                      <w:sz w:val="20"/>
                      <w:szCs w:val="20"/>
                    </w:rPr>
                  </w:pPr>
                  <w:r w:rsidRPr="00F71C9B">
                    <w:rPr>
                      <w:color w:val="FFFFFF" w:themeColor="background1"/>
                      <w:sz w:val="20"/>
                      <w:szCs w:val="20"/>
                    </w:rPr>
                    <w:t>ISSN 1099-5862</w:t>
                  </w:r>
                </w:p>
                <w:p w:rsidR="00B823F2" w:rsidRPr="00F71C9B" w:rsidRDefault="00B823F2" w:rsidP="00B823F2">
                  <w:pPr>
                    <w:jc w:val="center"/>
                    <w:rPr>
                      <w:color w:val="FFFFFF" w:themeColor="background1"/>
                      <w:sz w:val="20"/>
                      <w:szCs w:val="20"/>
                    </w:rPr>
                  </w:pPr>
                </w:p>
                <w:p w:rsidR="00B823F2" w:rsidRDefault="00B823F2" w:rsidP="00B823F2">
                  <w:pPr>
                    <w:jc w:val="center"/>
                    <w:rPr>
                      <w:color w:val="FFFFFF" w:themeColor="background1"/>
                      <w:szCs w:val="24"/>
                    </w:rPr>
                  </w:pPr>
                  <w:proofErr w:type="spellStart"/>
                  <w:r w:rsidRPr="00F71C9B">
                    <w:rPr>
                      <w:color w:val="FFFFFF" w:themeColor="background1"/>
                      <w:szCs w:val="24"/>
                    </w:rPr>
                    <w:t>Vol</w:t>
                  </w:r>
                  <w:proofErr w:type="spellEnd"/>
                  <w:r w:rsidRPr="00F71C9B">
                    <w:rPr>
                      <w:color w:val="FFFFFF" w:themeColor="background1"/>
                      <w:szCs w:val="24"/>
                    </w:rPr>
                    <w:t xml:space="preserve"> 13 No </w:t>
                  </w:r>
                  <w:r>
                    <w:rPr>
                      <w:color w:val="FFFFFF" w:themeColor="background1"/>
                      <w:szCs w:val="24"/>
                    </w:rPr>
                    <w:t xml:space="preserve">11 November </w:t>
                  </w:r>
                  <w:r w:rsidRPr="00F71C9B">
                    <w:rPr>
                      <w:color w:val="FFFFFF" w:themeColor="background1"/>
                      <w:szCs w:val="24"/>
                    </w:rPr>
                    <w:t>2010</w:t>
                  </w:r>
                </w:p>
                <w:p w:rsidR="00B823F2" w:rsidRPr="00F71C9B" w:rsidRDefault="00B823F2" w:rsidP="00B823F2">
                  <w:pPr>
                    <w:jc w:val="center"/>
                    <w:rPr>
                      <w:color w:val="FFFFFF" w:themeColor="background1"/>
                      <w:szCs w:val="24"/>
                    </w:rPr>
                  </w:pPr>
                </w:p>
                <w:p w:rsidR="00B823F2" w:rsidRDefault="00B823F2" w:rsidP="00B823F2">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r w:rsidRPr="00F71C9B">
                    <w:rPr>
                      <w:rFonts w:asciiTheme="majorHAnsi" w:eastAsiaTheme="majorEastAsia" w:hAnsiTheme="majorHAnsi" w:cstheme="majorBidi"/>
                      <w:iCs/>
                      <w:color w:val="FFFFFF" w:themeColor="background1"/>
                      <w:szCs w:val="24"/>
                    </w:rPr>
                    <w:t>Advancing the Profession of Exercise Physiology</w:t>
                  </w:r>
                </w:p>
                <w:p w:rsidR="008B2F82" w:rsidRPr="00B823F2" w:rsidRDefault="008B2F82" w:rsidP="00B823F2">
                  <w:pPr>
                    <w:jc w:val="center"/>
                    <w:rPr>
                      <w:szCs w:val="36"/>
                    </w:rPr>
                  </w:pPr>
                </w:p>
              </w:txbxContent>
            </v:textbox>
            <w10:wrap type="square" anchorx="page" anchory="page"/>
          </v:rect>
        </w:pict>
      </w:r>
    </w:p>
    <w:p w:rsidR="00416BFD" w:rsidRPr="005B2C23" w:rsidRDefault="00416BFD" w:rsidP="008904DB">
      <w:pPr>
        <w:rPr>
          <w:rFonts w:cs="Times New Roman"/>
          <w:b/>
          <w:sz w:val="28"/>
          <w:szCs w:val="28"/>
        </w:rPr>
      </w:pPr>
      <w:r w:rsidRPr="005B2C23">
        <w:rPr>
          <w:rFonts w:cs="Times New Roman"/>
          <w:b/>
          <w:sz w:val="28"/>
          <w:szCs w:val="28"/>
        </w:rPr>
        <w:t>Questioning Popular Thinking</w:t>
      </w:r>
    </w:p>
    <w:p w:rsidR="005B2C23" w:rsidRDefault="005B2C23" w:rsidP="008904DB">
      <w:pPr>
        <w:rPr>
          <w:rFonts w:cs="Times New Roman"/>
          <w:szCs w:val="24"/>
        </w:rPr>
      </w:pPr>
      <w:r>
        <w:rPr>
          <w:rFonts w:cs="Times New Roman"/>
          <w:szCs w:val="24"/>
        </w:rPr>
        <w:t>Tommy Boone, PhD, MPH, MAM, MBA</w:t>
      </w:r>
    </w:p>
    <w:p w:rsidR="005B2C23" w:rsidRDefault="005B2C23" w:rsidP="008904DB">
      <w:pPr>
        <w:rPr>
          <w:rFonts w:cs="Times New Roman"/>
          <w:szCs w:val="24"/>
        </w:rPr>
      </w:pPr>
      <w:r>
        <w:rPr>
          <w:rFonts w:cs="Times New Roman"/>
          <w:szCs w:val="24"/>
        </w:rPr>
        <w:t>Board Certified Exercise Physiologist</w:t>
      </w:r>
    </w:p>
    <w:p w:rsidR="005B2C23" w:rsidRDefault="005B2C23" w:rsidP="008904DB">
      <w:pPr>
        <w:rPr>
          <w:rFonts w:cs="Times New Roman"/>
          <w:szCs w:val="24"/>
        </w:rPr>
      </w:pPr>
      <w:r>
        <w:rPr>
          <w:rFonts w:cs="Times New Roman"/>
          <w:szCs w:val="24"/>
        </w:rPr>
        <w:t>Fellow, American Society of Exercise Physiologists</w:t>
      </w:r>
    </w:p>
    <w:p w:rsidR="005B2C23" w:rsidRDefault="005B2C23" w:rsidP="008904DB">
      <w:pPr>
        <w:rPr>
          <w:rFonts w:cs="Times New Roman"/>
          <w:szCs w:val="24"/>
        </w:rPr>
      </w:pPr>
      <w:r>
        <w:rPr>
          <w:rFonts w:cs="Times New Roman"/>
          <w:szCs w:val="24"/>
        </w:rPr>
        <w:t>Professor, Department of Exercise Physiology</w:t>
      </w:r>
    </w:p>
    <w:p w:rsidR="005B2C23" w:rsidRDefault="005B2C23" w:rsidP="008904DB">
      <w:pPr>
        <w:rPr>
          <w:rFonts w:cs="Times New Roman"/>
          <w:szCs w:val="24"/>
        </w:rPr>
      </w:pPr>
      <w:r>
        <w:rPr>
          <w:rFonts w:cs="Times New Roman"/>
          <w:szCs w:val="24"/>
        </w:rPr>
        <w:t>The College of St. Scholastica</w:t>
      </w:r>
    </w:p>
    <w:p w:rsidR="005B2C23" w:rsidRDefault="005B2C23" w:rsidP="008904DB">
      <w:pPr>
        <w:rPr>
          <w:rFonts w:cs="Times New Roman"/>
          <w:szCs w:val="24"/>
        </w:rPr>
      </w:pPr>
      <w:r>
        <w:rPr>
          <w:rFonts w:cs="Times New Roman"/>
          <w:szCs w:val="24"/>
        </w:rPr>
        <w:t>Duluth, MN 55811</w:t>
      </w:r>
    </w:p>
    <w:p w:rsidR="00416BFD" w:rsidRDefault="00416BFD" w:rsidP="00930E41">
      <w:pPr>
        <w:pBdr>
          <w:left w:val="single" w:sz="4" w:space="4" w:color="auto"/>
        </w:pBdr>
        <w:ind w:left="720"/>
        <w:rPr>
          <w:rFonts w:cs="Times New Roman"/>
          <w:szCs w:val="24"/>
        </w:rPr>
      </w:pPr>
    </w:p>
    <w:p w:rsidR="00DF4DFE" w:rsidRDefault="00930E41" w:rsidP="00930E41">
      <w:pPr>
        <w:pBdr>
          <w:left w:val="single" w:sz="4" w:space="4" w:color="auto"/>
        </w:pBdr>
        <w:ind w:left="720"/>
        <w:rPr>
          <w:rFonts w:cs="Times New Roman"/>
          <w:szCs w:val="24"/>
        </w:rPr>
      </w:pPr>
      <w:r>
        <w:rPr>
          <w:rFonts w:cs="Times New Roman"/>
          <w:szCs w:val="24"/>
        </w:rPr>
        <w:t>Popular thinking offers false hope.  When people blindly follow a trend, they’re not doing their own thinking.</w:t>
      </w:r>
    </w:p>
    <w:p w:rsidR="00930E41" w:rsidRPr="00930E41" w:rsidRDefault="00930E41" w:rsidP="00930E41">
      <w:pPr>
        <w:pBdr>
          <w:left w:val="single" w:sz="4" w:space="4" w:color="auto"/>
        </w:pBdr>
        <w:ind w:left="720"/>
        <w:jc w:val="right"/>
        <w:rPr>
          <w:rFonts w:cs="Times New Roman"/>
          <w:szCs w:val="24"/>
        </w:rPr>
      </w:pPr>
      <w:r w:rsidRPr="00930E41">
        <w:rPr>
          <w:rFonts w:cs="Times New Roman"/>
          <w:szCs w:val="24"/>
        </w:rPr>
        <w:t>-- John C. Maxwell</w:t>
      </w:r>
      <w:r>
        <w:rPr>
          <w:rFonts w:cs="Times New Roman"/>
          <w:szCs w:val="24"/>
        </w:rPr>
        <w:t xml:space="preserve"> [1]</w:t>
      </w:r>
    </w:p>
    <w:p w:rsidR="005B2C23" w:rsidRDefault="005B2C23" w:rsidP="005B2C23">
      <w:pPr>
        <w:spacing w:line="360" w:lineRule="auto"/>
        <w:jc w:val="both"/>
        <w:rPr>
          <w:rFonts w:cs="Times New Roman"/>
          <w:szCs w:val="24"/>
        </w:rPr>
      </w:pPr>
    </w:p>
    <w:p w:rsidR="00930E41" w:rsidRPr="008B2F82" w:rsidRDefault="00930E41" w:rsidP="00930E41">
      <w:pPr>
        <w:keepNext/>
        <w:framePr w:dropCap="drop" w:lines="2" w:wrap="around" w:vAnchor="text" w:hAnchor="text"/>
        <w:spacing w:line="827" w:lineRule="exact"/>
        <w:jc w:val="both"/>
        <w:textAlignment w:val="baseline"/>
        <w:rPr>
          <w:rFonts w:cs="Times New Roman"/>
          <w:b/>
          <w:position w:val="2"/>
          <w:sz w:val="91"/>
          <w:szCs w:val="24"/>
        </w:rPr>
      </w:pPr>
      <w:r w:rsidRPr="00930E41">
        <w:rPr>
          <w:rFonts w:cs="Times New Roman"/>
          <w:position w:val="2"/>
          <w:sz w:val="91"/>
          <w:szCs w:val="24"/>
        </w:rPr>
        <w:t>T</w:t>
      </w:r>
    </w:p>
    <w:tbl>
      <w:tblPr>
        <w:tblStyle w:val="TableGrid"/>
        <w:tblpPr w:leftFromText="187" w:rightFromText="187" w:topFromText="317" w:bottomFromText="317" w:vertAnchor="text" w:horzAnchor="margin" w:tblpXSpec="right" w:tblpY="3739"/>
        <w:tblW w:w="0" w:type="auto"/>
        <w:tblCellMar>
          <w:top w:w="173" w:type="dxa"/>
          <w:left w:w="173" w:type="dxa"/>
          <w:bottom w:w="173" w:type="dxa"/>
          <w:right w:w="173" w:type="dxa"/>
        </w:tblCellMar>
        <w:tblLook w:val="04A0"/>
      </w:tblPr>
      <w:tblGrid>
        <w:gridCol w:w="3716"/>
      </w:tblGrid>
      <w:tr w:rsidR="003754C4" w:rsidTr="003754C4">
        <w:trPr>
          <w:trHeight w:val="507"/>
        </w:trPr>
        <w:tc>
          <w:tcPr>
            <w:tcW w:w="3716" w:type="dxa"/>
          </w:tcPr>
          <w:p w:rsidR="003754C4" w:rsidRPr="003754C4" w:rsidRDefault="003754C4" w:rsidP="003754C4">
            <w:pPr>
              <w:jc w:val="both"/>
              <w:rPr>
                <w:rFonts w:cs="Times New Roman"/>
                <w:sz w:val="24"/>
                <w:szCs w:val="24"/>
              </w:rPr>
            </w:pPr>
            <w:r w:rsidRPr="003754C4">
              <w:rPr>
                <w:rFonts w:cs="Times New Roman"/>
                <w:sz w:val="24"/>
                <w:szCs w:val="24"/>
              </w:rPr>
              <w:t xml:space="preserve">Most people are more comfortable with old problems than with new solutions.  </w:t>
            </w:r>
          </w:p>
          <w:p w:rsidR="003754C4" w:rsidRDefault="003754C4" w:rsidP="003754C4">
            <w:pPr>
              <w:jc w:val="right"/>
              <w:rPr>
                <w:rFonts w:cs="Times New Roman"/>
                <w:sz w:val="24"/>
                <w:szCs w:val="24"/>
              </w:rPr>
            </w:pPr>
            <w:r w:rsidRPr="003754C4">
              <w:rPr>
                <w:rFonts w:cs="Times New Roman"/>
                <w:sz w:val="24"/>
                <w:szCs w:val="24"/>
              </w:rPr>
              <w:t>-- Author Unknown</w:t>
            </w:r>
          </w:p>
        </w:tc>
      </w:tr>
    </w:tbl>
    <w:p w:rsidR="00930E41" w:rsidRDefault="00416BFD" w:rsidP="00930E41">
      <w:pPr>
        <w:spacing w:line="360" w:lineRule="auto"/>
        <w:jc w:val="both"/>
        <w:rPr>
          <w:rFonts w:cs="Times New Roman"/>
          <w:szCs w:val="24"/>
        </w:rPr>
      </w:pPr>
      <w:r w:rsidRPr="008B2F82">
        <w:rPr>
          <w:rFonts w:cs="Times New Roman"/>
          <w:b/>
          <w:szCs w:val="24"/>
        </w:rPr>
        <w:t>he problem with popular thinking</w:t>
      </w:r>
      <w:r>
        <w:rPr>
          <w:rFonts w:cs="Times New Roman"/>
          <w:szCs w:val="24"/>
        </w:rPr>
        <w:t xml:space="preserve">, such as being a member of the American College of Sports Medicine, is that it is simply too common.  It is the expected behavior of someone who does so without thinking.  Unpopular thinking is unexpected behavior, and it requires thinking.  The problem is that many </w:t>
      </w:r>
      <w:r w:rsidR="00DF4DFE">
        <w:rPr>
          <w:rFonts w:cs="Times New Roman"/>
          <w:szCs w:val="24"/>
        </w:rPr>
        <w:t>people</w:t>
      </w:r>
      <w:r>
        <w:rPr>
          <w:rFonts w:cs="Times New Roman"/>
          <w:szCs w:val="24"/>
        </w:rPr>
        <w:t xml:space="preserve"> are flat out lazy.  They like what is common, and they aren’t interested in doing what is difficult.  For example, if you want to be a member of the American Society of Exercise Physiologists, start preparing </w:t>
      </w:r>
      <w:r w:rsidR="00DF4DFE">
        <w:rPr>
          <w:rFonts w:cs="Times New Roman"/>
          <w:szCs w:val="24"/>
        </w:rPr>
        <w:t xml:space="preserve">yourself for unpopular thinking.  </w:t>
      </w:r>
      <w:r>
        <w:rPr>
          <w:rFonts w:cs="Times New Roman"/>
          <w:szCs w:val="24"/>
        </w:rPr>
        <w:t xml:space="preserve">It is not easy </w:t>
      </w:r>
      <w:r w:rsidR="005B2C23">
        <w:rPr>
          <w:rFonts w:cs="Times New Roman"/>
          <w:szCs w:val="24"/>
        </w:rPr>
        <w:t xml:space="preserve">to do what most people don’t do, and yet it is the only way to a </w:t>
      </w:r>
      <w:r w:rsidR="005B2C23" w:rsidRPr="00DF4DFE">
        <w:rPr>
          <w:rFonts w:cs="Times New Roman"/>
          <w:szCs w:val="24"/>
        </w:rPr>
        <w:t>hopeful future</w:t>
      </w:r>
      <w:r w:rsidR="00DF4DFE" w:rsidRPr="00DF4DFE">
        <w:rPr>
          <w:rFonts w:cs="Times New Roman"/>
          <w:szCs w:val="24"/>
        </w:rPr>
        <w:t xml:space="preserve"> for </w:t>
      </w:r>
      <w:r w:rsidR="00930E41">
        <w:rPr>
          <w:rFonts w:cs="Times New Roman"/>
          <w:szCs w:val="24"/>
        </w:rPr>
        <w:t xml:space="preserve">the </w:t>
      </w:r>
      <w:r w:rsidR="00DF4DFE" w:rsidRPr="00DF4DFE">
        <w:rPr>
          <w:rFonts w:cs="Times New Roman"/>
          <w:szCs w:val="24"/>
        </w:rPr>
        <w:t>exerci</w:t>
      </w:r>
      <w:r w:rsidR="00930E41">
        <w:rPr>
          <w:rFonts w:cs="Times New Roman"/>
          <w:szCs w:val="24"/>
        </w:rPr>
        <w:t>se physiologist</w:t>
      </w:r>
      <w:r w:rsidR="005B2C23" w:rsidRPr="00DF4DFE">
        <w:rPr>
          <w:rFonts w:cs="Times New Roman"/>
          <w:szCs w:val="24"/>
        </w:rPr>
        <w:t>.</w:t>
      </w:r>
    </w:p>
    <w:p w:rsidR="00210D2C" w:rsidRDefault="00930E41" w:rsidP="00210D2C">
      <w:pPr>
        <w:spacing w:line="360" w:lineRule="auto"/>
        <w:jc w:val="both"/>
        <w:rPr>
          <w:rFonts w:cs="Times New Roman"/>
          <w:szCs w:val="24"/>
        </w:rPr>
      </w:pPr>
      <w:r>
        <w:rPr>
          <w:rFonts w:cs="Times New Roman"/>
          <w:szCs w:val="24"/>
        </w:rPr>
        <w:tab/>
        <w:t xml:space="preserve">As an exercise physiologist, the idea of supporting a generic organization </w:t>
      </w:r>
      <w:r w:rsidR="008B2F82">
        <w:rPr>
          <w:rFonts w:cs="Times New Roman"/>
          <w:szCs w:val="24"/>
        </w:rPr>
        <w:t xml:space="preserve">and not </w:t>
      </w:r>
      <w:r w:rsidR="008904DB">
        <w:rPr>
          <w:rFonts w:cs="Times New Roman"/>
          <w:szCs w:val="24"/>
        </w:rPr>
        <w:t>a</w:t>
      </w:r>
      <w:r w:rsidR="008B2F82">
        <w:rPr>
          <w:rFonts w:cs="Times New Roman"/>
          <w:szCs w:val="24"/>
        </w:rPr>
        <w:t xml:space="preserve"> </w:t>
      </w:r>
      <w:r>
        <w:rPr>
          <w:rFonts w:cs="Times New Roman"/>
          <w:szCs w:val="24"/>
        </w:rPr>
        <w:t>professional organization offers false hope.</w:t>
      </w:r>
      <w:r w:rsidR="008B2F82">
        <w:rPr>
          <w:rFonts w:cs="Times New Roman"/>
          <w:szCs w:val="24"/>
        </w:rPr>
        <w:t xml:space="preserve">  Then, why are so many people willing to join and support generic organiza</w:t>
      </w:r>
      <w:r w:rsidR="008904DB">
        <w:rPr>
          <w:rFonts w:cs="Times New Roman"/>
          <w:szCs w:val="24"/>
        </w:rPr>
        <w:t>tions?  The answer is simple:  I</w:t>
      </w:r>
      <w:r w:rsidR="008B2F82">
        <w:rPr>
          <w:rFonts w:cs="Times New Roman"/>
          <w:szCs w:val="24"/>
        </w:rPr>
        <w:t>t is the safe and secure thin</w:t>
      </w:r>
      <w:r w:rsidR="00210D2C">
        <w:rPr>
          <w:rFonts w:cs="Times New Roman"/>
          <w:szCs w:val="24"/>
        </w:rPr>
        <w:t>g</w:t>
      </w:r>
      <w:r w:rsidR="008B2F82">
        <w:rPr>
          <w:rFonts w:cs="Times New Roman"/>
          <w:szCs w:val="24"/>
        </w:rPr>
        <w:t xml:space="preserve"> to do.  What is popular is often believed to be right.</w:t>
      </w:r>
      <w:r w:rsidR="00210D2C">
        <w:rPr>
          <w:rFonts w:cs="Times New Roman"/>
          <w:szCs w:val="24"/>
        </w:rPr>
        <w:t xml:space="preserve">  What is </w:t>
      </w:r>
      <w:r w:rsidR="00210D2C">
        <w:rPr>
          <w:rFonts w:cs="Times New Roman"/>
          <w:szCs w:val="24"/>
        </w:rPr>
        <w:lastRenderedPageBreak/>
        <w:t>safe is also easy, especially when it is believed that everyone is doing the same thing.</w:t>
      </w:r>
      <w:r w:rsidR="008B2F82">
        <w:rPr>
          <w:rFonts w:cs="Times New Roman"/>
          <w:szCs w:val="24"/>
        </w:rPr>
        <w:t xml:space="preserve">  </w:t>
      </w:r>
      <w:r w:rsidR="00210D2C">
        <w:rPr>
          <w:rFonts w:cs="Times New Roman"/>
          <w:szCs w:val="24"/>
        </w:rPr>
        <w:t>So, it must be okay.  The problem is that popular thinking is often the wrong behavior.  Popular thinking said that if you aren’t whit</w:t>
      </w:r>
      <w:r w:rsidR="008904DB">
        <w:rPr>
          <w:rFonts w:cs="Times New Roman"/>
          <w:szCs w:val="24"/>
        </w:rPr>
        <w:t xml:space="preserve">e, you do not deserve </w:t>
      </w:r>
      <w:r w:rsidR="00210D2C">
        <w:rPr>
          <w:rFonts w:cs="Times New Roman"/>
          <w:szCs w:val="24"/>
        </w:rPr>
        <w:t>rights, yet people know that such thinking is wrong.  Popular thinking kept women from voting, yet unpopular people corrected such thinking.</w:t>
      </w:r>
    </w:p>
    <w:tbl>
      <w:tblPr>
        <w:tblStyle w:val="TableGrid"/>
        <w:tblpPr w:leftFromText="187" w:rightFromText="187" w:topFromText="331" w:bottomFromText="331" w:vertAnchor="text" w:horzAnchor="margin" w:tblpY="3776"/>
        <w:tblW w:w="0" w:type="auto"/>
        <w:tblCellMar>
          <w:top w:w="173" w:type="dxa"/>
          <w:left w:w="173" w:type="dxa"/>
          <w:bottom w:w="173" w:type="dxa"/>
          <w:right w:w="187" w:type="dxa"/>
        </w:tblCellMar>
        <w:tblLook w:val="04A0"/>
      </w:tblPr>
      <w:tblGrid>
        <w:gridCol w:w="3053"/>
      </w:tblGrid>
      <w:tr w:rsidR="008904DB" w:rsidTr="008904DB">
        <w:trPr>
          <w:trHeight w:val="561"/>
        </w:trPr>
        <w:tc>
          <w:tcPr>
            <w:tcW w:w="3053" w:type="dxa"/>
          </w:tcPr>
          <w:p w:rsidR="008904DB" w:rsidRPr="003754C4" w:rsidRDefault="008904DB" w:rsidP="008904DB">
            <w:pPr>
              <w:jc w:val="both"/>
              <w:rPr>
                <w:rFonts w:cs="Times New Roman"/>
                <w:sz w:val="24"/>
                <w:szCs w:val="24"/>
              </w:rPr>
            </w:pPr>
            <w:r w:rsidRPr="003754C4">
              <w:rPr>
                <w:rFonts w:cs="Times New Roman"/>
                <w:sz w:val="24"/>
                <w:szCs w:val="24"/>
              </w:rPr>
              <w:t xml:space="preserve">Don't think you're on the right road just because it’s a well-beaten path.  </w:t>
            </w:r>
          </w:p>
          <w:p w:rsidR="008904DB" w:rsidRPr="003754C4" w:rsidRDefault="008904DB" w:rsidP="008904DB">
            <w:pPr>
              <w:jc w:val="right"/>
              <w:rPr>
                <w:rFonts w:cs="Times New Roman"/>
                <w:sz w:val="24"/>
                <w:szCs w:val="24"/>
              </w:rPr>
            </w:pPr>
            <w:r w:rsidRPr="003754C4">
              <w:rPr>
                <w:rFonts w:cs="Times New Roman"/>
                <w:sz w:val="24"/>
                <w:szCs w:val="24"/>
              </w:rPr>
              <w:t>-- Author Unknown</w:t>
            </w:r>
          </w:p>
        </w:tc>
      </w:tr>
    </w:tbl>
    <w:p w:rsidR="008922FD" w:rsidRDefault="00210D2C" w:rsidP="00210D2C">
      <w:pPr>
        <w:spacing w:line="360" w:lineRule="auto"/>
        <w:jc w:val="both"/>
        <w:rPr>
          <w:rFonts w:cs="Times New Roman"/>
          <w:szCs w:val="24"/>
        </w:rPr>
      </w:pPr>
      <w:r>
        <w:rPr>
          <w:rFonts w:cs="Times New Roman"/>
          <w:szCs w:val="24"/>
        </w:rPr>
        <w:tab/>
        <w:t>Safety in numbers doesn’t mean anything when it is the wrong thinking.  For example, just because ACSM is a 20,000 plus membership doesn’t make it the right organization for exercise physiologists</w:t>
      </w:r>
      <w:r w:rsidR="008904DB">
        <w:rPr>
          <w:rFonts w:cs="Times New Roman"/>
          <w:szCs w:val="24"/>
        </w:rPr>
        <w:t xml:space="preserve"> (however popular)</w:t>
      </w:r>
      <w:r>
        <w:rPr>
          <w:rFonts w:cs="Times New Roman"/>
          <w:szCs w:val="24"/>
        </w:rPr>
        <w:t xml:space="preserve">.  Yet thousands of academic exercise physiologists follow the path to ACSM every year.  Why, because it is safe, popular, and the status quo.  </w:t>
      </w:r>
      <w:r w:rsidR="008922FD">
        <w:rPr>
          <w:rFonts w:cs="Times New Roman"/>
          <w:szCs w:val="24"/>
        </w:rPr>
        <w:t>Doing so, however, ends up having negative effects o</w:t>
      </w:r>
      <w:r w:rsidR="008904DB">
        <w:rPr>
          <w:rFonts w:cs="Times New Roman"/>
          <w:szCs w:val="24"/>
        </w:rPr>
        <w:t>n</w:t>
      </w:r>
      <w:r w:rsidR="008922FD">
        <w:rPr>
          <w:rFonts w:cs="Times New Roman"/>
          <w:szCs w:val="24"/>
        </w:rPr>
        <w:t xml:space="preserve"> the growth and maturity of exercise physiology as a profession of healthcare practitioners.  It dampens the interest in doing those things necessary to ensure the professionalism of exercise physiology, such as becoming a member of ASEP and helping with the building of its professional infrastructure.  </w:t>
      </w:r>
    </w:p>
    <w:p w:rsidR="008922FD" w:rsidRDefault="008922FD" w:rsidP="00210D2C">
      <w:pPr>
        <w:spacing w:line="360" w:lineRule="auto"/>
        <w:jc w:val="both"/>
        <w:rPr>
          <w:rFonts w:cs="Times New Roman"/>
          <w:szCs w:val="24"/>
        </w:rPr>
      </w:pPr>
      <w:r>
        <w:rPr>
          <w:rFonts w:cs="Times New Roman"/>
          <w:szCs w:val="24"/>
        </w:rPr>
        <w:tab/>
        <w:t>It is time to put the past behind us</w:t>
      </w:r>
      <w:r w:rsidR="008904DB">
        <w:rPr>
          <w:rFonts w:cs="Times New Roman"/>
          <w:szCs w:val="24"/>
        </w:rPr>
        <w:t xml:space="preserve">.  It is time to </w:t>
      </w:r>
      <w:r>
        <w:rPr>
          <w:rFonts w:cs="Times New Roman"/>
          <w:szCs w:val="24"/>
        </w:rPr>
        <w:t>get on with a new 21</w:t>
      </w:r>
      <w:r w:rsidRPr="008922FD">
        <w:rPr>
          <w:rFonts w:cs="Times New Roman"/>
          <w:szCs w:val="24"/>
          <w:vertAlign w:val="superscript"/>
        </w:rPr>
        <w:t>st</w:t>
      </w:r>
      <w:r>
        <w:rPr>
          <w:rFonts w:cs="Times New Roman"/>
          <w:szCs w:val="24"/>
        </w:rPr>
        <w:t xml:space="preserve"> century view of exercise physiology.  Of course the ASEP organization is new, but is okay.  It is especially when it makes sense.  Yes, building anything takes time.  Why not nurture ASEP?  Why not give up the popular way to think for </w:t>
      </w:r>
      <w:r w:rsidR="008904DB">
        <w:rPr>
          <w:rFonts w:cs="Times New Roman"/>
          <w:szCs w:val="24"/>
        </w:rPr>
        <w:t xml:space="preserve">and support </w:t>
      </w:r>
      <w:r>
        <w:rPr>
          <w:rFonts w:cs="Times New Roman"/>
          <w:szCs w:val="24"/>
        </w:rPr>
        <w:t xml:space="preserve">the unpopular since it is a worthwhile and meaningful endeavor?  Doing so is uplifting, and certainly something beyond average.  Anyone can join a big organization and float along </w:t>
      </w:r>
      <w:r w:rsidR="008904DB">
        <w:rPr>
          <w:rFonts w:cs="Times New Roman"/>
          <w:szCs w:val="24"/>
        </w:rPr>
        <w:t>as if everything is okay</w:t>
      </w:r>
      <w:r>
        <w:rPr>
          <w:rFonts w:cs="Times New Roman"/>
          <w:szCs w:val="24"/>
        </w:rPr>
        <w:t>.  Instead, why not do something extraordinary, something uncommon</w:t>
      </w:r>
      <w:r w:rsidR="008904DB">
        <w:rPr>
          <w:rFonts w:cs="Times New Roman"/>
          <w:szCs w:val="24"/>
        </w:rPr>
        <w:t>, if not unpopular</w:t>
      </w:r>
      <w:r>
        <w:rPr>
          <w:rFonts w:cs="Times New Roman"/>
          <w:szCs w:val="24"/>
        </w:rPr>
        <w:t xml:space="preserve">?  That way however unpopular you may be you will be a leader and not a follower.  </w:t>
      </w:r>
    </w:p>
    <w:p w:rsidR="00D92FE7" w:rsidRDefault="008922FD" w:rsidP="00210D2C">
      <w:pPr>
        <w:spacing w:line="360" w:lineRule="auto"/>
        <w:jc w:val="both"/>
        <w:rPr>
          <w:rFonts w:cs="Times New Roman"/>
          <w:szCs w:val="24"/>
        </w:rPr>
      </w:pPr>
      <w:r>
        <w:rPr>
          <w:rFonts w:cs="Times New Roman"/>
          <w:szCs w:val="24"/>
        </w:rPr>
        <w:tab/>
        <w:t>Yes, there will be challenges</w:t>
      </w:r>
      <w:r w:rsidR="008904DB">
        <w:rPr>
          <w:rFonts w:cs="Times New Roman"/>
          <w:szCs w:val="24"/>
        </w:rPr>
        <w:t xml:space="preserve"> when choosing to think as an exercise physiologist</w:t>
      </w:r>
      <w:r>
        <w:rPr>
          <w:rFonts w:cs="Times New Roman"/>
          <w:szCs w:val="24"/>
        </w:rPr>
        <w:t>.  The path of professionalism in exercise physiology isn’t an easy one</w:t>
      </w:r>
      <w:r w:rsidR="008904DB">
        <w:rPr>
          <w:rFonts w:cs="Times New Roman"/>
          <w:szCs w:val="24"/>
        </w:rPr>
        <w:t xml:space="preserve"> at all</w:t>
      </w:r>
      <w:r>
        <w:rPr>
          <w:rFonts w:cs="Times New Roman"/>
          <w:szCs w:val="24"/>
        </w:rPr>
        <w:t>.  This is true for the other professions</w:t>
      </w:r>
      <w:r w:rsidR="00D92FE7">
        <w:rPr>
          <w:rFonts w:cs="Times New Roman"/>
          <w:szCs w:val="24"/>
        </w:rPr>
        <w:t>, and as such is the nature of</w:t>
      </w:r>
      <w:r w:rsidR="008904DB">
        <w:rPr>
          <w:rFonts w:cs="Times New Roman"/>
          <w:szCs w:val="24"/>
        </w:rPr>
        <w:t xml:space="preserve"> the</w:t>
      </w:r>
      <w:r w:rsidR="00D92FE7">
        <w:rPr>
          <w:rFonts w:cs="Times New Roman"/>
          <w:szCs w:val="24"/>
        </w:rPr>
        <w:t xml:space="preserve"> professionalization</w:t>
      </w:r>
      <w:r w:rsidR="008904DB">
        <w:rPr>
          <w:rFonts w:cs="Times New Roman"/>
          <w:szCs w:val="24"/>
        </w:rPr>
        <w:t xml:space="preserve"> process</w:t>
      </w:r>
      <w:r w:rsidR="00D92FE7">
        <w:rPr>
          <w:rFonts w:cs="Times New Roman"/>
          <w:szCs w:val="24"/>
        </w:rPr>
        <w:t>.  Members of nursing, physical therapy and other healthcare professions are thinking of what is best for their profession, not what</w:t>
      </w:r>
      <w:r w:rsidR="008904DB">
        <w:rPr>
          <w:rFonts w:cs="Times New Roman"/>
          <w:szCs w:val="24"/>
        </w:rPr>
        <w:t xml:space="preserve"> i</w:t>
      </w:r>
      <w:r w:rsidR="00D92FE7">
        <w:rPr>
          <w:rFonts w:cs="Times New Roman"/>
          <w:szCs w:val="24"/>
        </w:rPr>
        <w:t xml:space="preserve">s </w:t>
      </w:r>
      <w:r w:rsidR="008904DB">
        <w:rPr>
          <w:rFonts w:cs="Times New Roman"/>
          <w:szCs w:val="24"/>
        </w:rPr>
        <w:lastRenderedPageBreak/>
        <w:t>p</w:t>
      </w:r>
      <w:r w:rsidR="00D92FE7">
        <w:rPr>
          <w:rFonts w:cs="Times New Roman"/>
          <w:szCs w:val="24"/>
        </w:rPr>
        <w:t>opular.  This may mean doing things expressly for ASEP that are unpopular, such as writing an article about the challenges of being an exercise physiologist without having a doctorate degree or working alongside a colleague in a fitness facility</w:t>
      </w:r>
      <w:r w:rsidR="008904DB">
        <w:rPr>
          <w:rFonts w:cs="Times New Roman"/>
          <w:szCs w:val="24"/>
        </w:rPr>
        <w:t xml:space="preserve"> who</w:t>
      </w:r>
      <w:r w:rsidR="00D92FE7">
        <w:rPr>
          <w:rFonts w:cs="Times New Roman"/>
          <w:szCs w:val="24"/>
        </w:rPr>
        <w:t xml:space="preserve"> has a weekend warrior certification</w:t>
      </w:r>
      <w:r w:rsidR="008904DB">
        <w:rPr>
          <w:rFonts w:cs="Times New Roman"/>
          <w:szCs w:val="24"/>
        </w:rPr>
        <w:t xml:space="preserve"> and a degree in accounting</w:t>
      </w:r>
      <w:r w:rsidR="00D92FE7">
        <w:rPr>
          <w:rFonts w:cs="Times New Roman"/>
          <w:szCs w:val="24"/>
        </w:rPr>
        <w:t xml:space="preserve">.  Are you willing to go against what is popular?  </w:t>
      </w:r>
    </w:p>
    <w:tbl>
      <w:tblPr>
        <w:tblStyle w:val="TableGrid"/>
        <w:tblpPr w:leftFromText="187" w:rightFromText="187" w:topFromText="389" w:bottomFromText="389" w:vertAnchor="text" w:horzAnchor="margin" w:tblpXSpec="right" w:tblpY="2161"/>
        <w:tblW w:w="0" w:type="auto"/>
        <w:tblCellMar>
          <w:top w:w="173" w:type="dxa"/>
          <w:left w:w="173" w:type="dxa"/>
          <w:bottom w:w="173" w:type="dxa"/>
          <w:right w:w="173" w:type="dxa"/>
        </w:tblCellMar>
        <w:tblLook w:val="04A0"/>
      </w:tblPr>
      <w:tblGrid>
        <w:gridCol w:w="3085"/>
      </w:tblGrid>
      <w:tr w:rsidR="003754C4" w:rsidTr="003754C4">
        <w:trPr>
          <w:trHeight w:val="568"/>
        </w:trPr>
        <w:tc>
          <w:tcPr>
            <w:tcW w:w="3085" w:type="dxa"/>
          </w:tcPr>
          <w:p w:rsidR="003754C4" w:rsidRPr="003754C4" w:rsidRDefault="003754C4" w:rsidP="003754C4">
            <w:pPr>
              <w:jc w:val="both"/>
              <w:rPr>
                <w:rFonts w:cs="Times New Roman"/>
                <w:sz w:val="24"/>
                <w:szCs w:val="24"/>
              </w:rPr>
            </w:pPr>
            <w:r w:rsidRPr="003754C4">
              <w:rPr>
                <w:rFonts w:cs="Times New Roman"/>
                <w:sz w:val="24"/>
                <w:szCs w:val="24"/>
              </w:rPr>
              <w:t xml:space="preserve">Do not follow where the path may lead.  Go, instead, where there is no path and leave a trail.  </w:t>
            </w:r>
          </w:p>
          <w:p w:rsidR="003754C4" w:rsidRPr="003754C4" w:rsidRDefault="003754C4" w:rsidP="003754C4">
            <w:pPr>
              <w:jc w:val="right"/>
              <w:rPr>
                <w:rFonts w:cs="Times New Roman"/>
                <w:sz w:val="24"/>
                <w:szCs w:val="24"/>
              </w:rPr>
            </w:pPr>
            <w:r w:rsidRPr="003754C4">
              <w:rPr>
                <w:rFonts w:cs="Times New Roman"/>
                <w:sz w:val="24"/>
                <w:szCs w:val="24"/>
              </w:rPr>
              <w:t>-- Ralph Waldo Emerson</w:t>
            </w:r>
          </w:p>
        </w:tc>
      </w:tr>
    </w:tbl>
    <w:p w:rsidR="00D457FF" w:rsidRDefault="00D92FE7" w:rsidP="00210D2C">
      <w:pPr>
        <w:spacing w:line="360" w:lineRule="auto"/>
        <w:jc w:val="both"/>
        <w:rPr>
          <w:rFonts w:cs="Times New Roman"/>
          <w:szCs w:val="24"/>
        </w:rPr>
      </w:pPr>
      <w:r>
        <w:rPr>
          <w:rFonts w:cs="Times New Roman"/>
          <w:szCs w:val="24"/>
        </w:rPr>
        <w:tab/>
        <w:t xml:space="preserve">Unpopular thinking, giving support to a small professional organization, is often misunderstood, yet it isn’t hard to get the point with a little straight thinking.  The bottom line is that all professionals must have the opportunity to belong to their own professional organization.  </w:t>
      </w:r>
      <w:r w:rsidR="008904DB">
        <w:rPr>
          <w:rFonts w:cs="Times New Roman"/>
          <w:szCs w:val="24"/>
        </w:rPr>
        <w:t>Most healthcare professionals will tell you that i</w:t>
      </w:r>
      <w:r>
        <w:rPr>
          <w:rFonts w:cs="Times New Roman"/>
          <w:szCs w:val="24"/>
        </w:rPr>
        <w:t>t is required</w:t>
      </w:r>
      <w:r w:rsidR="008904DB">
        <w:rPr>
          <w:rFonts w:cs="Times New Roman"/>
          <w:szCs w:val="24"/>
        </w:rPr>
        <w:t>.  S</w:t>
      </w:r>
      <w:r>
        <w:rPr>
          <w:rFonts w:cs="Times New Roman"/>
          <w:szCs w:val="24"/>
        </w:rPr>
        <w:t xml:space="preserve">o the next time you are asked about ASEP, </w:t>
      </w:r>
      <w:r w:rsidR="008904DB">
        <w:rPr>
          <w:rFonts w:cs="Times New Roman"/>
          <w:szCs w:val="24"/>
        </w:rPr>
        <w:t xml:space="preserve">why not </w:t>
      </w:r>
      <w:r>
        <w:rPr>
          <w:rFonts w:cs="Times New Roman"/>
          <w:szCs w:val="24"/>
        </w:rPr>
        <w:t>share the message</w:t>
      </w:r>
      <w:r w:rsidR="008904DB">
        <w:rPr>
          <w:rFonts w:cs="Times New Roman"/>
          <w:szCs w:val="24"/>
        </w:rPr>
        <w:t>?</w:t>
      </w:r>
      <w:r>
        <w:rPr>
          <w:rFonts w:cs="Times New Roman"/>
          <w:szCs w:val="24"/>
        </w:rPr>
        <w:t xml:space="preserve">  </w:t>
      </w:r>
      <w:r w:rsidR="008904DB">
        <w:rPr>
          <w:rFonts w:cs="Times New Roman"/>
          <w:szCs w:val="24"/>
        </w:rPr>
        <w:t xml:space="preserve">Ask yourself this question: </w:t>
      </w:r>
      <w:r>
        <w:rPr>
          <w:rFonts w:cs="Times New Roman"/>
          <w:szCs w:val="24"/>
        </w:rPr>
        <w:t xml:space="preserve">Do you think that it is possible for physical therapists to be where they are today without their professional organization, the American Physical Therapy Association?  They </w:t>
      </w:r>
      <w:r w:rsidR="008904DB">
        <w:rPr>
          <w:rFonts w:cs="Times New Roman"/>
          <w:szCs w:val="24"/>
        </w:rPr>
        <w:t xml:space="preserve">understand the </w:t>
      </w:r>
      <w:r>
        <w:rPr>
          <w:rFonts w:cs="Times New Roman"/>
          <w:szCs w:val="24"/>
        </w:rPr>
        <w:t xml:space="preserve">need </w:t>
      </w:r>
      <w:r w:rsidR="008904DB">
        <w:rPr>
          <w:rFonts w:cs="Times New Roman"/>
          <w:szCs w:val="24"/>
        </w:rPr>
        <w:t xml:space="preserve">for </w:t>
      </w:r>
      <w:r>
        <w:rPr>
          <w:rFonts w:cs="Times New Roman"/>
          <w:szCs w:val="24"/>
        </w:rPr>
        <w:t>the APTA</w:t>
      </w:r>
      <w:r w:rsidR="008904DB">
        <w:rPr>
          <w:rFonts w:cs="Times New Roman"/>
          <w:szCs w:val="24"/>
        </w:rPr>
        <w:t>,</w:t>
      </w:r>
      <w:r>
        <w:rPr>
          <w:rFonts w:cs="Times New Roman"/>
          <w:szCs w:val="24"/>
        </w:rPr>
        <w:t xml:space="preserve"> and it needs them.  </w:t>
      </w:r>
      <w:r w:rsidR="00D457FF">
        <w:rPr>
          <w:rFonts w:cs="Times New Roman"/>
          <w:szCs w:val="24"/>
        </w:rPr>
        <w:t>Likewise, the ASEP organization needs exercise physiologists.  It is that simple, and it is the power of unpopular thinking to do the right thing for the right reason.</w:t>
      </w:r>
    </w:p>
    <w:p w:rsidR="00D457FF" w:rsidRDefault="00D457FF" w:rsidP="00210D2C">
      <w:pPr>
        <w:spacing w:line="360" w:lineRule="auto"/>
        <w:jc w:val="both"/>
        <w:rPr>
          <w:rFonts w:cs="Times New Roman"/>
          <w:szCs w:val="24"/>
        </w:rPr>
      </w:pPr>
      <w:r>
        <w:rPr>
          <w:rFonts w:cs="Times New Roman"/>
          <w:szCs w:val="24"/>
        </w:rPr>
        <w:tab/>
        <w:t>Sports medicine is not exercise physiology!  It is time to stop repeating the same old behaviors.  They don’t work for all exercise physiologists, especially the non-doctorate exercise physiologists.  It therefore time to challenge the status quo and to get on with the unpopular thinking of building a strong foundation under the ASEP organization.  That</w:t>
      </w:r>
      <w:r w:rsidR="00B823F2">
        <w:rPr>
          <w:rFonts w:cs="Times New Roman"/>
          <w:szCs w:val="24"/>
        </w:rPr>
        <w:t xml:space="preserve"> i</w:t>
      </w:r>
      <w:r>
        <w:rPr>
          <w:rFonts w:cs="Times New Roman"/>
          <w:szCs w:val="24"/>
        </w:rPr>
        <w:t>s why it is important to challenge the popular way of thinking, analyze it for what it is, and try something new.  You can do that by joining ASEP and driv</w:t>
      </w:r>
      <w:r w:rsidR="00B823F2">
        <w:rPr>
          <w:rFonts w:cs="Times New Roman"/>
          <w:szCs w:val="24"/>
        </w:rPr>
        <w:t>ing</w:t>
      </w:r>
      <w:r>
        <w:rPr>
          <w:rFonts w:cs="Times New Roman"/>
          <w:szCs w:val="24"/>
        </w:rPr>
        <w:t xml:space="preserve"> the message home to your friends and colleagues that exercise physiologists need their own code of ethics [2], accreditation guidelines [3], board certification [4], and standards of professional practice [5].  However unpopular such thinking might be, you can get in on the ground level and help change exercise physiology for the better.</w:t>
      </w:r>
    </w:p>
    <w:p w:rsidR="00A6180B" w:rsidRDefault="00D457FF" w:rsidP="00210D2C">
      <w:pPr>
        <w:spacing w:line="360" w:lineRule="auto"/>
        <w:jc w:val="both"/>
        <w:rPr>
          <w:rFonts w:cs="Times New Roman"/>
          <w:szCs w:val="24"/>
        </w:rPr>
      </w:pPr>
      <w:r>
        <w:rPr>
          <w:rFonts w:cs="Times New Roman"/>
          <w:szCs w:val="24"/>
        </w:rPr>
        <w:lastRenderedPageBreak/>
        <w:tab/>
        <w:t xml:space="preserve">It is time to support a different organization.  It is time to go against what is safe, easy, and popular.  It is time to embrace the unpopular thinking and learn how to </w:t>
      </w:r>
      <w:r w:rsidR="00B0321D">
        <w:rPr>
          <w:rFonts w:cs="Times New Roman"/>
          <w:szCs w:val="24"/>
        </w:rPr>
        <w:t xml:space="preserve">make a difference.  It is time to take your mind to another level of how to be the very best exercise physiologist possible, while also allowing yourself (if necessary) to feel uncomfortable along the way.  Taking the safe and easy path isn’t always the right or even the most exciting path.  So, why not become an ASEP member, go to an ASEP meeting, or write an ASEP Board Member and ask how you can help with the building and support of the ASEP organization?  Why not share your talents, energy, and resources with other exercise physiologists?  </w:t>
      </w:r>
      <w:r w:rsidR="00B823F2">
        <w:rPr>
          <w:rFonts w:cs="Times New Roman"/>
          <w:szCs w:val="24"/>
        </w:rPr>
        <w:t>Why not?</w:t>
      </w:r>
    </w:p>
    <w:p w:rsidR="005B2C23" w:rsidRPr="00416BFD" w:rsidRDefault="005B2C23">
      <w:pPr>
        <w:rPr>
          <w:rFonts w:cs="Times New Roman"/>
          <w:szCs w:val="24"/>
        </w:rPr>
      </w:pPr>
    </w:p>
    <w:p w:rsidR="008E3BCD" w:rsidRDefault="008E3BCD" w:rsidP="008E3BCD">
      <w:pPr>
        <w:jc w:val="center"/>
        <w:rPr>
          <w:rFonts w:cs="Times New Roman"/>
          <w:szCs w:val="24"/>
        </w:rPr>
      </w:pPr>
      <w:r w:rsidRPr="008E3BCD">
        <w:rPr>
          <w:rFonts w:cs="Times New Roman"/>
          <w:noProof/>
          <w:szCs w:val="24"/>
        </w:rPr>
        <w:drawing>
          <wp:inline distT="0" distB="0" distL="0" distR="0">
            <wp:extent cx="523875" cy="952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952500"/>
                    </a:xfrm>
                    <a:prstGeom prst="rect">
                      <a:avLst/>
                    </a:prstGeom>
                    <a:noFill/>
                    <a:ln w="9525">
                      <a:noFill/>
                      <a:miter lim="800000"/>
                      <a:headEnd/>
                      <a:tailEnd/>
                    </a:ln>
                  </pic:spPr>
                </pic:pic>
              </a:graphicData>
            </a:graphic>
          </wp:inline>
        </w:drawing>
      </w:r>
    </w:p>
    <w:p w:rsidR="008E3BCD" w:rsidRDefault="008E3BCD">
      <w:pPr>
        <w:rPr>
          <w:rFonts w:cs="Times New Roman"/>
          <w:szCs w:val="24"/>
        </w:rPr>
      </w:pPr>
    </w:p>
    <w:p w:rsidR="00B823F2" w:rsidRDefault="00B823F2">
      <w:pPr>
        <w:rPr>
          <w:rFonts w:cs="Times New Roman"/>
          <w:szCs w:val="24"/>
        </w:rPr>
      </w:pPr>
    </w:p>
    <w:p w:rsidR="00B823F2" w:rsidRDefault="00B823F2">
      <w:pPr>
        <w:rPr>
          <w:rFonts w:cs="Times New Roman"/>
          <w:szCs w:val="24"/>
        </w:rPr>
      </w:pPr>
    </w:p>
    <w:p w:rsidR="00416BFD" w:rsidRDefault="00930E41">
      <w:pPr>
        <w:rPr>
          <w:rFonts w:cs="Times New Roman"/>
          <w:szCs w:val="24"/>
        </w:rPr>
      </w:pPr>
      <w:r>
        <w:rPr>
          <w:rFonts w:cs="Times New Roman"/>
          <w:szCs w:val="24"/>
        </w:rPr>
        <w:t>References</w:t>
      </w:r>
    </w:p>
    <w:p w:rsidR="00930E41" w:rsidRDefault="00930E41" w:rsidP="00930E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Maxwell, J. C. (2003). </w:t>
      </w:r>
      <w:r w:rsidRPr="00930E41">
        <w:rPr>
          <w:rFonts w:ascii="Times New Roman" w:hAnsi="Times New Roman" w:cs="Times New Roman"/>
          <w:i/>
          <w:sz w:val="24"/>
          <w:szCs w:val="24"/>
        </w:rPr>
        <w:t xml:space="preserve">Thinking </w:t>
      </w:r>
      <w:proofErr w:type="gramStart"/>
      <w:r w:rsidRPr="00930E41">
        <w:rPr>
          <w:rFonts w:ascii="Times New Roman" w:hAnsi="Times New Roman" w:cs="Times New Roman"/>
          <w:i/>
          <w:sz w:val="24"/>
          <w:szCs w:val="24"/>
        </w:rPr>
        <w:t>For</w:t>
      </w:r>
      <w:proofErr w:type="gramEnd"/>
      <w:r w:rsidRPr="00930E41">
        <w:rPr>
          <w:rFonts w:ascii="Times New Roman" w:hAnsi="Times New Roman" w:cs="Times New Roman"/>
          <w:i/>
          <w:sz w:val="24"/>
          <w:szCs w:val="24"/>
        </w:rPr>
        <w:t xml:space="preserve"> A Change: 11 Ways Highly Successful People Approach Life and Work.</w:t>
      </w:r>
      <w:r>
        <w:rPr>
          <w:rFonts w:ascii="Times New Roman" w:hAnsi="Times New Roman" w:cs="Times New Roman"/>
          <w:sz w:val="24"/>
          <w:szCs w:val="24"/>
        </w:rPr>
        <w:t xml:space="preserve"> New York, NY: Center Street.</w:t>
      </w:r>
    </w:p>
    <w:p w:rsidR="00930E41" w:rsidRDefault="00B0321D" w:rsidP="00930E41">
      <w:pPr>
        <w:pStyle w:val="ListParagraph"/>
        <w:numPr>
          <w:ilvl w:val="0"/>
          <w:numId w:val="2"/>
        </w:numPr>
        <w:rPr>
          <w:rFonts w:ascii="Times New Roman" w:hAnsi="Times New Roman" w:cs="Times New Roman"/>
          <w:sz w:val="24"/>
          <w:szCs w:val="24"/>
        </w:rPr>
      </w:pPr>
      <w:r w:rsidRPr="00CA3C43">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Code of Ethics. [Online]. </w:t>
      </w:r>
      <w:hyperlink r:id="rId8" w:history="1">
        <w:r w:rsidRPr="00F97995">
          <w:rPr>
            <w:rStyle w:val="Hyperlink"/>
            <w:rFonts w:ascii="Times New Roman" w:hAnsi="Times New Roman" w:cs="Times New Roman"/>
            <w:sz w:val="24"/>
            <w:szCs w:val="24"/>
          </w:rPr>
          <w:t>http://www.asep.org/organization/ethics</w:t>
        </w:r>
      </w:hyperlink>
    </w:p>
    <w:p w:rsidR="00B0321D" w:rsidRDefault="00CA3C43" w:rsidP="00930E41">
      <w:pPr>
        <w:pStyle w:val="ListParagraph"/>
        <w:numPr>
          <w:ilvl w:val="0"/>
          <w:numId w:val="2"/>
        </w:numPr>
        <w:rPr>
          <w:rFonts w:ascii="Times New Roman" w:hAnsi="Times New Roman" w:cs="Times New Roman"/>
          <w:sz w:val="24"/>
          <w:szCs w:val="24"/>
        </w:rPr>
      </w:pPr>
      <w:r w:rsidRPr="00CA3C43">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Accreditation. [Online]. </w:t>
      </w:r>
      <w:hyperlink r:id="rId9" w:history="1">
        <w:r w:rsidRPr="00F97995">
          <w:rPr>
            <w:rStyle w:val="Hyperlink"/>
            <w:rFonts w:ascii="Times New Roman" w:hAnsi="Times New Roman" w:cs="Times New Roman"/>
            <w:sz w:val="24"/>
            <w:szCs w:val="24"/>
          </w:rPr>
          <w:t>http://www.asep.org/services/accreditation</w:t>
        </w:r>
      </w:hyperlink>
    </w:p>
    <w:p w:rsidR="00CA3C43" w:rsidRDefault="00CA3C43" w:rsidP="00930E41">
      <w:pPr>
        <w:pStyle w:val="ListParagraph"/>
        <w:numPr>
          <w:ilvl w:val="0"/>
          <w:numId w:val="2"/>
        </w:numPr>
        <w:rPr>
          <w:rFonts w:ascii="Times New Roman" w:hAnsi="Times New Roman" w:cs="Times New Roman"/>
          <w:sz w:val="24"/>
          <w:szCs w:val="24"/>
        </w:rPr>
      </w:pPr>
      <w:r w:rsidRPr="00CA3C43">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Board Certification. [Online]. </w:t>
      </w:r>
      <w:hyperlink r:id="rId10" w:history="1">
        <w:r w:rsidRPr="00F97995">
          <w:rPr>
            <w:rStyle w:val="Hyperlink"/>
            <w:rFonts w:ascii="Times New Roman" w:hAnsi="Times New Roman" w:cs="Times New Roman"/>
            <w:sz w:val="24"/>
            <w:szCs w:val="24"/>
          </w:rPr>
          <w:t>http://www.asep.org/services/EPCexam</w:t>
        </w:r>
      </w:hyperlink>
    </w:p>
    <w:p w:rsidR="00CA3C43" w:rsidRDefault="00CA3C43" w:rsidP="00930E41">
      <w:pPr>
        <w:pStyle w:val="ListParagraph"/>
        <w:numPr>
          <w:ilvl w:val="0"/>
          <w:numId w:val="2"/>
        </w:numPr>
        <w:rPr>
          <w:rFonts w:ascii="Times New Roman" w:hAnsi="Times New Roman" w:cs="Times New Roman"/>
          <w:sz w:val="24"/>
          <w:szCs w:val="24"/>
        </w:rPr>
      </w:pPr>
      <w:r w:rsidRPr="00CA3C43">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Standards of Professional Practice. [Online]. </w:t>
      </w:r>
      <w:hyperlink r:id="rId11" w:history="1">
        <w:r w:rsidRPr="00F97995">
          <w:rPr>
            <w:rStyle w:val="Hyperlink"/>
            <w:rFonts w:ascii="Times New Roman" w:hAnsi="Times New Roman" w:cs="Times New Roman"/>
            <w:sz w:val="24"/>
            <w:szCs w:val="24"/>
          </w:rPr>
          <w:t>http://www.asep.org/services/standards</w:t>
        </w:r>
      </w:hyperlink>
    </w:p>
    <w:p w:rsidR="00CA3C43" w:rsidRPr="00930E41" w:rsidRDefault="00CA3C43" w:rsidP="00CA3C43">
      <w:pPr>
        <w:pStyle w:val="ListParagraph"/>
        <w:rPr>
          <w:rFonts w:ascii="Times New Roman" w:hAnsi="Times New Roman" w:cs="Times New Roman"/>
          <w:sz w:val="24"/>
          <w:szCs w:val="24"/>
        </w:rPr>
      </w:pPr>
    </w:p>
    <w:sectPr w:rsidR="00CA3C43" w:rsidRPr="00930E41" w:rsidSect="005B2C23">
      <w:footerReference w:type="default" r:id="rId12"/>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DB" w:rsidRDefault="008904DB" w:rsidP="008904DB">
      <w:r>
        <w:separator/>
      </w:r>
    </w:p>
  </w:endnote>
  <w:endnote w:type="continuationSeparator" w:id="0">
    <w:p w:rsidR="008904DB" w:rsidRDefault="008904DB" w:rsidP="008904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9954"/>
      <w:docPartObj>
        <w:docPartGallery w:val="Page Numbers (Bottom of Page)"/>
        <w:docPartUnique/>
      </w:docPartObj>
    </w:sdtPr>
    <w:sdtContent>
      <w:p w:rsidR="008904DB" w:rsidRDefault="008904DB">
        <w:pPr>
          <w:pStyle w:val="Footer"/>
          <w:jc w:val="center"/>
        </w:pPr>
        <w:fldSimple w:instr=" PAGE   \* MERGEFORMAT ">
          <w:r w:rsidR="00B823F2">
            <w:rPr>
              <w:noProof/>
            </w:rPr>
            <w:t>1</w:t>
          </w:r>
        </w:fldSimple>
      </w:p>
    </w:sdtContent>
  </w:sdt>
  <w:p w:rsidR="008904DB" w:rsidRDefault="00890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DB" w:rsidRDefault="008904DB" w:rsidP="008904DB">
      <w:r>
        <w:separator/>
      </w:r>
    </w:p>
  </w:footnote>
  <w:footnote w:type="continuationSeparator" w:id="0">
    <w:p w:rsidR="008904DB" w:rsidRDefault="008904DB" w:rsidP="00890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E093C"/>
    <w:multiLevelType w:val="hybridMultilevel"/>
    <w:tmpl w:val="E474C586"/>
    <w:lvl w:ilvl="0" w:tplc="85A0EC96">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F5C93"/>
    <w:multiLevelType w:val="hybridMultilevel"/>
    <w:tmpl w:val="8A9AB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B37AE"/>
    <w:multiLevelType w:val="hybridMultilevel"/>
    <w:tmpl w:val="097E76A8"/>
    <w:lvl w:ilvl="0" w:tplc="3676A0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FD1A29"/>
    <w:multiLevelType w:val="hybridMultilevel"/>
    <w:tmpl w:val="D550E646"/>
    <w:lvl w:ilvl="0" w:tplc="742C576A">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6BFD"/>
    <w:rsid w:val="00111349"/>
    <w:rsid w:val="00210D2C"/>
    <w:rsid w:val="003754C4"/>
    <w:rsid w:val="00413A78"/>
    <w:rsid w:val="00416BFD"/>
    <w:rsid w:val="004E07B2"/>
    <w:rsid w:val="005B2C23"/>
    <w:rsid w:val="00706131"/>
    <w:rsid w:val="008904DB"/>
    <w:rsid w:val="008922FD"/>
    <w:rsid w:val="008B2F82"/>
    <w:rsid w:val="008E3BCD"/>
    <w:rsid w:val="00930E41"/>
    <w:rsid w:val="00A6180B"/>
    <w:rsid w:val="00B0321D"/>
    <w:rsid w:val="00B823F2"/>
    <w:rsid w:val="00C35808"/>
    <w:rsid w:val="00CA3C43"/>
    <w:rsid w:val="00D457FF"/>
    <w:rsid w:val="00D92FE7"/>
    <w:rsid w:val="00DE25EA"/>
    <w:rsid w:val="00DF4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C23"/>
    <w:rPr>
      <w:rFonts w:ascii="Tahoma" w:hAnsi="Tahoma" w:cs="Tahoma"/>
      <w:sz w:val="16"/>
      <w:szCs w:val="16"/>
    </w:rPr>
  </w:style>
  <w:style w:type="character" w:customStyle="1" w:styleId="BalloonTextChar">
    <w:name w:val="Balloon Text Char"/>
    <w:basedOn w:val="DefaultParagraphFont"/>
    <w:link w:val="BalloonText"/>
    <w:uiPriority w:val="99"/>
    <w:semiHidden/>
    <w:rsid w:val="005B2C23"/>
    <w:rPr>
      <w:rFonts w:ascii="Tahoma" w:hAnsi="Tahoma" w:cs="Tahoma"/>
      <w:sz w:val="16"/>
      <w:szCs w:val="16"/>
    </w:rPr>
  </w:style>
  <w:style w:type="paragraph" w:styleId="ListParagraph">
    <w:name w:val="List Paragraph"/>
    <w:basedOn w:val="Normal"/>
    <w:uiPriority w:val="34"/>
    <w:qFormat/>
    <w:rsid w:val="00930E41"/>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B0321D"/>
    <w:rPr>
      <w:color w:val="0000FF" w:themeColor="hyperlink"/>
      <w:u w:val="single"/>
    </w:rPr>
  </w:style>
  <w:style w:type="table" w:styleId="TableGrid">
    <w:name w:val="Table Grid"/>
    <w:basedOn w:val="TableNormal"/>
    <w:uiPriority w:val="59"/>
    <w:rsid w:val="0037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04DB"/>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semiHidden/>
    <w:rsid w:val="008904DB"/>
  </w:style>
  <w:style w:type="paragraph" w:styleId="Footer">
    <w:name w:val="footer"/>
    <w:basedOn w:val="Normal"/>
    <w:link w:val="FooterChar"/>
    <w:uiPriority w:val="99"/>
    <w:unhideWhenUsed/>
    <w:rsid w:val="008904DB"/>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890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p.org/organization/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org/services/standards" TargetMode="External"/><Relationship Id="rId5" Type="http://schemas.openxmlformats.org/officeDocument/2006/relationships/footnotes" Target="footnotes.xml"/><Relationship Id="rId10" Type="http://schemas.openxmlformats.org/officeDocument/2006/relationships/hyperlink" Target="http://www.asep.org/services/EPCexam" TargetMode="External"/><Relationship Id="rId4" Type="http://schemas.openxmlformats.org/officeDocument/2006/relationships/webSettings" Target="webSettings.xml"/><Relationship Id="rId9" Type="http://schemas.openxmlformats.org/officeDocument/2006/relationships/hyperlink" Target="http://www.asep.org/services/accredi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2010-11-01T19:13:00Z</dcterms:created>
  <dcterms:modified xsi:type="dcterms:W3CDTF">2010-11-01T19:13:00Z</dcterms:modified>
</cp:coreProperties>
</file>